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52" w:rsidRPr="00903E52" w:rsidRDefault="00903E52">
      <w:pPr>
        <w:rPr>
          <w:sz w:val="20"/>
          <w:szCs w:val="20"/>
        </w:rPr>
      </w:pPr>
    </w:p>
    <w:tbl>
      <w:tblPr>
        <w:tblW w:w="10915" w:type="dxa"/>
        <w:tblInd w:w="-601" w:type="dxa"/>
        <w:tblBorders>
          <w:top w:val="single" w:sz="4" w:space="0" w:color="6EC9E0"/>
          <w:left w:val="single" w:sz="4" w:space="0" w:color="6EC9E0"/>
          <w:bottom w:val="single" w:sz="4" w:space="0" w:color="6EC9E0"/>
          <w:right w:val="single" w:sz="4" w:space="0" w:color="6EC9E0"/>
          <w:insideH w:val="single" w:sz="4" w:space="0" w:color="6EC9E0"/>
          <w:insideV w:val="single" w:sz="4" w:space="0" w:color="6EC9E0"/>
        </w:tblBorders>
        <w:tblLayout w:type="fixed"/>
        <w:tblLook w:val="01E0" w:firstRow="1" w:lastRow="1" w:firstColumn="1" w:lastColumn="1" w:noHBand="0" w:noVBand="0"/>
      </w:tblPr>
      <w:tblGrid>
        <w:gridCol w:w="3261"/>
        <w:gridCol w:w="7654"/>
      </w:tblGrid>
      <w:tr w:rsidR="00145490" w:rsidRPr="009F4EEC" w:rsidTr="006B202D">
        <w:tc>
          <w:tcPr>
            <w:tcW w:w="3261" w:type="dxa"/>
            <w:tcBorders>
              <w:bottom w:val="single" w:sz="4" w:space="0" w:color="6EC9E0"/>
            </w:tcBorders>
            <w:shd w:val="clear" w:color="auto" w:fill="E0E0E0"/>
          </w:tcPr>
          <w:p w:rsidR="00145490" w:rsidRPr="009F4EEC" w:rsidRDefault="00145490" w:rsidP="00982E61">
            <w:pPr>
              <w:spacing w:before="20" w:after="20"/>
              <w:rPr>
                <w:b/>
                <w:sz w:val="20"/>
                <w:szCs w:val="20"/>
              </w:rPr>
            </w:pPr>
            <w:r w:rsidRPr="009F4EEC">
              <w:rPr>
                <w:b/>
                <w:sz w:val="20"/>
                <w:szCs w:val="20"/>
              </w:rPr>
              <w:t>Applicant Name</w:t>
            </w:r>
          </w:p>
        </w:tc>
        <w:tc>
          <w:tcPr>
            <w:tcW w:w="7654" w:type="dxa"/>
            <w:tcBorders>
              <w:bottom w:val="single" w:sz="4" w:space="0" w:color="6EC9E0"/>
            </w:tcBorders>
            <w:shd w:val="clear" w:color="auto" w:fill="auto"/>
          </w:tcPr>
          <w:p w:rsidR="00145490" w:rsidRPr="009F4EEC" w:rsidRDefault="00145490" w:rsidP="00982E61">
            <w:pPr>
              <w:spacing w:before="20" w:after="20"/>
              <w:rPr>
                <w:sz w:val="20"/>
                <w:szCs w:val="20"/>
              </w:rPr>
            </w:pPr>
            <w:r w:rsidRPr="009F4EEC">
              <w:rPr>
                <w:sz w:val="20"/>
                <w:szCs w:val="20"/>
              </w:rPr>
              <w:fldChar w:fldCharType="begin">
                <w:ffData>
                  <w:name w:val="Text2"/>
                  <w:enabled/>
                  <w:calcOnExit w:val="0"/>
                  <w:textInput/>
                </w:ffData>
              </w:fldChar>
            </w:r>
            <w:bookmarkStart w:id="0" w:name="Text2"/>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bookmarkEnd w:id="0"/>
          </w:p>
        </w:tc>
      </w:tr>
      <w:tr w:rsidR="00982E61" w:rsidRPr="009F4EEC" w:rsidTr="006B202D">
        <w:tc>
          <w:tcPr>
            <w:tcW w:w="3261" w:type="dxa"/>
            <w:tcBorders>
              <w:bottom w:val="single" w:sz="4" w:space="0" w:color="6EC9E0"/>
            </w:tcBorders>
            <w:shd w:val="clear" w:color="auto" w:fill="E0E0E0"/>
          </w:tcPr>
          <w:p w:rsidR="00982E61" w:rsidRPr="009F4EEC" w:rsidRDefault="00982E61" w:rsidP="00982E61">
            <w:pPr>
              <w:spacing w:before="20" w:after="20"/>
              <w:rPr>
                <w:b/>
                <w:sz w:val="20"/>
                <w:szCs w:val="20"/>
              </w:rPr>
            </w:pPr>
            <w:r w:rsidRPr="009F4EEC">
              <w:rPr>
                <w:b/>
                <w:sz w:val="20"/>
                <w:szCs w:val="20"/>
              </w:rPr>
              <w:t>Applicant Address</w:t>
            </w:r>
          </w:p>
        </w:tc>
        <w:tc>
          <w:tcPr>
            <w:tcW w:w="7654" w:type="dxa"/>
            <w:tcBorders>
              <w:bottom w:val="single" w:sz="4" w:space="0" w:color="6EC9E0"/>
            </w:tcBorders>
            <w:shd w:val="clear" w:color="auto" w:fill="auto"/>
          </w:tcPr>
          <w:p w:rsidR="00982E61" w:rsidRPr="009F4EEC" w:rsidRDefault="00982E61" w:rsidP="00982E61">
            <w:pPr>
              <w:spacing w:before="20" w:after="20"/>
              <w:rPr>
                <w:sz w:val="20"/>
                <w:szCs w:val="20"/>
              </w:rPr>
            </w:pPr>
            <w:r w:rsidRPr="009F4EEC">
              <w:rPr>
                <w:sz w:val="20"/>
                <w:szCs w:val="20"/>
              </w:rPr>
              <w:fldChar w:fldCharType="begin">
                <w:ffData>
                  <w:name w:val="Text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bl>
    <w:p w:rsidR="00982E61" w:rsidRPr="00AB3D23" w:rsidRDefault="00982E61" w:rsidP="009E294D">
      <w:pPr>
        <w:ind w:right="-900"/>
        <w:jc w:val="right"/>
        <w:rPr>
          <w:sz w:val="20"/>
          <w:szCs w:val="20"/>
        </w:rPr>
      </w:pPr>
    </w:p>
    <w:p w:rsidR="00966B09" w:rsidRPr="00AB3D23" w:rsidRDefault="00966B09" w:rsidP="00966B09">
      <w:pPr>
        <w:rPr>
          <w:sz w:val="20"/>
          <w:szCs w:val="20"/>
        </w:rPr>
      </w:pPr>
      <w:r w:rsidRPr="00AB3D23">
        <w:rPr>
          <w:sz w:val="20"/>
          <w:szCs w:val="20"/>
        </w:rPr>
        <w:t>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2835"/>
        <w:gridCol w:w="2835"/>
        <w:gridCol w:w="1984"/>
      </w:tblGrid>
      <w:tr w:rsidR="00966B09" w:rsidRPr="00D013F5" w:rsidTr="00903E52">
        <w:trPr>
          <w:trHeight w:val="238"/>
        </w:trPr>
        <w:tc>
          <w:tcPr>
            <w:tcW w:w="10915" w:type="dxa"/>
            <w:gridSpan w:val="4"/>
            <w:tcBorders>
              <w:top w:val="nil"/>
              <w:left w:val="nil"/>
              <w:bottom w:val="nil"/>
              <w:right w:val="nil"/>
            </w:tcBorders>
            <w:shd w:val="clear" w:color="auto" w:fill="6EC9E0"/>
            <w:vAlign w:val="center"/>
          </w:tcPr>
          <w:p w:rsidR="00966B09" w:rsidRPr="00D013F5" w:rsidRDefault="00966B09" w:rsidP="00AB3D23">
            <w:pPr>
              <w:tabs>
                <w:tab w:val="left" w:pos="4970"/>
                <w:tab w:val="left" w:pos="6480"/>
              </w:tabs>
              <w:spacing w:before="20" w:after="20"/>
              <w:rPr>
                <w:b/>
                <w:sz w:val="20"/>
              </w:rPr>
            </w:pPr>
            <w:r w:rsidRPr="00F2784B">
              <w:rPr>
                <w:rFonts w:ascii="Sansa Lloyds" w:hAnsi="Sansa Lloyds"/>
                <w:b/>
              </w:rPr>
              <w:t>Key staff</w:t>
            </w:r>
          </w:p>
        </w:tc>
      </w:tr>
      <w:tr w:rsidR="00966B09" w:rsidRPr="00D013F5" w:rsidTr="009A0C6E">
        <w:trPr>
          <w:trHeight w:val="241"/>
        </w:trPr>
        <w:tc>
          <w:tcPr>
            <w:tcW w:w="10915" w:type="dxa"/>
            <w:gridSpan w:val="4"/>
            <w:tcBorders>
              <w:top w:val="nil"/>
              <w:left w:val="nil"/>
              <w:bottom w:val="nil"/>
              <w:right w:val="nil"/>
            </w:tcBorders>
            <w:shd w:val="clear" w:color="auto" w:fill="auto"/>
          </w:tcPr>
          <w:p w:rsidR="00966B09" w:rsidRPr="00D013F5" w:rsidRDefault="00966B09" w:rsidP="009A0C6E">
            <w:pPr>
              <w:tabs>
                <w:tab w:val="left" w:pos="4970"/>
                <w:tab w:val="left" w:pos="6480"/>
              </w:tabs>
              <w:spacing w:before="20" w:after="20"/>
              <w:rPr>
                <w:b/>
                <w:sz w:val="20"/>
              </w:rPr>
            </w:pPr>
          </w:p>
        </w:tc>
      </w:tr>
      <w:tr w:rsidR="00676B69" w:rsidRPr="009F4EEC" w:rsidTr="00676B69">
        <w:trPr>
          <w:trHeight w:val="241"/>
        </w:trPr>
        <w:tc>
          <w:tcPr>
            <w:tcW w:w="3261" w:type="dxa"/>
            <w:tcBorders>
              <w:top w:val="nil"/>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b/>
                <w:sz w:val="20"/>
                <w:szCs w:val="20"/>
              </w:rPr>
            </w:pPr>
          </w:p>
        </w:tc>
        <w:tc>
          <w:tcPr>
            <w:tcW w:w="2835" w:type="dxa"/>
            <w:tcBorders>
              <w:top w:val="nil"/>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b/>
                <w:sz w:val="20"/>
                <w:szCs w:val="20"/>
              </w:rPr>
            </w:pPr>
            <w:r w:rsidRPr="009F4EEC">
              <w:rPr>
                <w:b/>
                <w:sz w:val="20"/>
                <w:szCs w:val="20"/>
              </w:rPr>
              <w:t>Name</w:t>
            </w:r>
          </w:p>
        </w:tc>
        <w:tc>
          <w:tcPr>
            <w:tcW w:w="2835" w:type="dxa"/>
            <w:tcBorders>
              <w:top w:val="nil"/>
              <w:left w:val="nil"/>
              <w:bottom w:val="single" w:sz="4" w:space="0" w:color="auto"/>
              <w:right w:val="nil"/>
            </w:tcBorders>
            <w:shd w:val="clear" w:color="auto" w:fill="auto"/>
          </w:tcPr>
          <w:p w:rsidR="00676B69" w:rsidRPr="009F4EEC" w:rsidRDefault="00676B69" w:rsidP="0018030D">
            <w:pPr>
              <w:tabs>
                <w:tab w:val="left" w:pos="4970"/>
                <w:tab w:val="left" w:pos="6480"/>
              </w:tabs>
              <w:spacing w:before="20" w:after="20"/>
              <w:rPr>
                <w:b/>
                <w:sz w:val="20"/>
                <w:szCs w:val="20"/>
              </w:rPr>
            </w:pPr>
            <w:r w:rsidRPr="009F4EEC">
              <w:rPr>
                <w:b/>
                <w:sz w:val="20"/>
                <w:szCs w:val="20"/>
              </w:rPr>
              <w:t xml:space="preserve">Email </w:t>
            </w:r>
          </w:p>
        </w:tc>
        <w:tc>
          <w:tcPr>
            <w:tcW w:w="1984" w:type="dxa"/>
            <w:tcBorders>
              <w:top w:val="nil"/>
              <w:left w:val="nil"/>
              <w:bottom w:val="single" w:sz="4" w:space="0" w:color="auto"/>
              <w:right w:val="nil"/>
            </w:tcBorders>
            <w:shd w:val="clear" w:color="auto" w:fill="auto"/>
          </w:tcPr>
          <w:p w:rsidR="00676B69" w:rsidRPr="009F4EEC" w:rsidRDefault="00676B69" w:rsidP="0018030D">
            <w:pPr>
              <w:tabs>
                <w:tab w:val="left" w:pos="4970"/>
                <w:tab w:val="left" w:pos="6480"/>
              </w:tabs>
              <w:spacing w:before="20" w:after="20"/>
              <w:rPr>
                <w:b/>
                <w:sz w:val="20"/>
                <w:szCs w:val="20"/>
              </w:rPr>
            </w:pPr>
            <w:r>
              <w:rPr>
                <w:b/>
                <w:sz w:val="20"/>
                <w:szCs w:val="20"/>
              </w:rPr>
              <w:t>Telephone</w:t>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A0C6E">
            <w:pPr>
              <w:tabs>
                <w:tab w:val="left" w:pos="4970"/>
                <w:tab w:val="left" w:pos="6480"/>
              </w:tabs>
              <w:spacing w:before="20" w:after="20"/>
              <w:rPr>
                <w:b/>
                <w:sz w:val="20"/>
                <w:szCs w:val="20"/>
              </w:rPr>
            </w:pPr>
            <w:r w:rsidRPr="009F4EEC">
              <w:rPr>
                <w:b/>
                <w:sz w:val="20"/>
                <w:szCs w:val="20"/>
              </w:rPr>
              <w:t>Principal of Organization</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0"/>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r w:rsidRPr="009F4EEC">
              <w:rPr>
                <w:sz w:val="20"/>
                <w:szCs w:val="20"/>
              </w:rPr>
              <w:fldChar w:fldCharType="begin">
                <w:ffData>
                  <w:name w:val="Text14"/>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A0C6E">
            <w:pPr>
              <w:tabs>
                <w:tab w:val="left" w:pos="4970"/>
                <w:tab w:val="left" w:pos="6480"/>
              </w:tabs>
              <w:spacing w:before="20" w:after="20"/>
              <w:rPr>
                <w:b/>
                <w:sz w:val="20"/>
                <w:szCs w:val="20"/>
              </w:rPr>
            </w:pPr>
            <w:r w:rsidRPr="009F4EEC">
              <w:rPr>
                <w:b/>
                <w:sz w:val="20"/>
                <w:szCs w:val="20"/>
              </w:rPr>
              <w:t>Compliance Officer</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1"/>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r w:rsidRPr="009F4EEC">
              <w:rPr>
                <w:sz w:val="20"/>
                <w:szCs w:val="20"/>
              </w:rPr>
              <w:fldChar w:fldCharType="begin">
                <w:ffData>
                  <w:name w:val="Text15"/>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A0C6E">
            <w:pPr>
              <w:tabs>
                <w:tab w:val="left" w:pos="4970"/>
                <w:tab w:val="left" w:pos="6480"/>
              </w:tabs>
              <w:spacing w:before="20" w:after="20"/>
              <w:rPr>
                <w:b/>
                <w:sz w:val="20"/>
                <w:szCs w:val="20"/>
              </w:rPr>
            </w:pPr>
            <w:r w:rsidRPr="009F4EEC">
              <w:rPr>
                <w:b/>
                <w:sz w:val="20"/>
                <w:szCs w:val="20"/>
              </w:rPr>
              <w:t>Underwriting Manager</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2"/>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r w:rsidRPr="009F4EEC">
              <w:rPr>
                <w:sz w:val="20"/>
                <w:szCs w:val="20"/>
              </w:rPr>
              <w:fldChar w:fldCharType="begin">
                <w:ffData>
                  <w:name w:val="Text16"/>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A0C6E">
            <w:pPr>
              <w:tabs>
                <w:tab w:val="left" w:pos="4970"/>
                <w:tab w:val="left" w:pos="6480"/>
              </w:tabs>
              <w:spacing w:before="20" w:after="20"/>
              <w:rPr>
                <w:b/>
                <w:sz w:val="20"/>
                <w:szCs w:val="20"/>
              </w:rPr>
            </w:pPr>
            <w:r w:rsidRPr="009F4EEC">
              <w:rPr>
                <w:b/>
                <w:sz w:val="20"/>
                <w:szCs w:val="20"/>
              </w:rPr>
              <w:t>Claims Manager</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66B09">
            <w:pPr>
              <w:tabs>
                <w:tab w:val="left" w:pos="4970"/>
                <w:tab w:val="left" w:pos="6480"/>
              </w:tabs>
              <w:spacing w:before="20" w:after="20"/>
              <w:rPr>
                <w:b/>
                <w:sz w:val="20"/>
                <w:szCs w:val="20"/>
              </w:rPr>
            </w:pPr>
            <w:r w:rsidRPr="009F4EEC">
              <w:rPr>
                <w:b/>
                <w:sz w:val="20"/>
                <w:szCs w:val="20"/>
              </w:rPr>
              <w:t xml:space="preserve">Individual </w:t>
            </w:r>
            <w:r>
              <w:rPr>
                <w:b/>
                <w:sz w:val="20"/>
                <w:szCs w:val="20"/>
              </w:rPr>
              <w:t>Handling C</w:t>
            </w:r>
            <w:r w:rsidRPr="009F4EEC">
              <w:rPr>
                <w:b/>
                <w:sz w:val="20"/>
                <w:szCs w:val="20"/>
              </w:rPr>
              <w:t>omplaints</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r w:rsidRPr="009F4EEC">
              <w:rPr>
                <w:sz w:val="20"/>
                <w:szCs w:val="20"/>
              </w:rPr>
              <w:fldChar w:fldCharType="begin">
                <w:ffData>
                  <w:name w:val="Text17"/>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76B69" w:rsidRPr="009F4EEC" w:rsidTr="00676B69">
        <w:trPr>
          <w:trHeight w:val="241"/>
        </w:trPr>
        <w:tc>
          <w:tcPr>
            <w:tcW w:w="3261" w:type="dxa"/>
            <w:tcBorders>
              <w:top w:val="single" w:sz="4" w:space="0" w:color="auto"/>
              <w:left w:val="nil"/>
              <w:bottom w:val="single" w:sz="4" w:space="0" w:color="auto"/>
              <w:right w:val="single" w:sz="4" w:space="0" w:color="auto"/>
            </w:tcBorders>
            <w:shd w:val="clear" w:color="auto" w:fill="auto"/>
          </w:tcPr>
          <w:p w:rsidR="00676B69" w:rsidRPr="009F4EEC" w:rsidRDefault="00676B69" w:rsidP="00966B09">
            <w:pPr>
              <w:tabs>
                <w:tab w:val="left" w:pos="4970"/>
                <w:tab w:val="left" w:pos="6480"/>
              </w:tabs>
              <w:spacing w:before="20" w:after="20"/>
              <w:rPr>
                <w:b/>
                <w:sz w:val="20"/>
                <w:szCs w:val="20"/>
              </w:rPr>
            </w:pPr>
            <w:r w:rsidRPr="009F4EEC">
              <w:rPr>
                <w:b/>
                <w:sz w:val="20"/>
                <w:szCs w:val="20"/>
              </w:rPr>
              <w:t>Firm Website</w:t>
            </w:r>
          </w:p>
        </w:tc>
        <w:tc>
          <w:tcPr>
            <w:tcW w:w="2835" w:type="dxa"/>
            <w:tcBorders>
              <w:top w:val="single" w:sz="4" w:space="0" w:color="auto"/>
              <w:left w:val="single" w:sz="4" w:space="0" w:color="auto"/>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c>
          <w:tcPr>
            <w:tcW w:w="2835" w:type="dxa"/>
            <w:tcBorders>
              <w:top w:val="single" w:sz="4" w:space="0" w:color="auto"/>
              <w:left w:val="nil"/>
              <w:bottom w:val="single" w:sz="4" w:space="0" w:color="auto"/>
              <w:right w:val="nil"/>
            </w:tcBorders>
            <w:shd w:val="clear" w:color="auto" w:fill="auto"/>
          </w:tcPr>
          <w:p w:rsidR="00676B69" w:rsidRPr="009F4EEC" w:rsidRDefault="00676B69" w:rsidP="009A0C6E">
            <w:pPr>
              <w:tabs>
                <w:tab w:val="left" w:pos="4970"/>
                <w:tab w:val="left" w:pos="6480"/>
              </w:tabs>
              <w:spacing w:before="20" w:after="20"/>
              <w:rPr>
                <w:sz w:val="20"/>
                <w:szCs w:val="20"/>
              </w:rPr>
            </w:pPr>
          </w:p>
        </w:tc>
        <w:tc>
          <w:tcPr>
            <w:tcW w:w="1984" w:type="dxa"/>
            <w:tcBorders>
              <w:top w:val="single" w:sz="4" w:space="0" w:color="auto"/>
              <w:left w:val="nil"/>
              <w:bottom w:val="single" w:sz="4" w:space="0" w:color="auto"/>
              <w:right w:val="nil"/>
            </w:tcBorders>
            <w:shd w:val="clear" w:color="auto" w:fill="auto"/>
          </w:tcPr>
          <w:p w:rsidR="00676B69" w:rsidRPr="009F4EEC" w:rsidRDefault="00676B69" w:rsidP="003C0225">
            <w:pPr>
              <w:tabs>
                <w:tab w:val="left" w:pos="4970"/>
                <w:tab w:val="left" w:pos="6480"/>
              </w:tabs>
              <w:spacing w:before="20" w:after="20"/>
              <w:rPr>
                <w:sz w:val="20"/>
                <w:szCs w:val="20"/>
              </w:rPr>
            </w:pPr>
          </w:p>
        </w:tc>
      </w:tr>
    </w:tbl>
    <w:p w:rsidR="005C0CC8" w:rsidRPr="00D013F5" w:rsidRDefault="005C0CC8" w:rsidP="005C0CC8">
      <w:pPr>
        <w:tabs>
          <w:tab w:val="left" w:pos="4970"/>
          <w:tab w:val="left" w:pos="6480"/>
        </w:tabs>
        <w:spacing w:before="20" w:after="20"/>
        <w:rPr>
          <w:b/>
          <w:sz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69"/>
        <w:gridCol w:w="58"/>
        <w:gridCol w:w="1494"/>
        <w:gridCol w:w="2166"/>
        <w:gridCol w:w="806"/>
        <w:gridCol w:w="2336"/>
        <w:gridCol w:w="1786"/>
      </w:tblGrid>
      <w:tr w:rsidR="00311A98" w:rsidRPr="00311A98" w:rsidTr="00311A98">
        <w:trPr>
          <w:cantSplit/>
          <w:trHeight w:val="238"/>
        </w:trPr>
        <w:tc>
          <w:tcPr>
            <w:tcW w:w="10915" w:type="dxa"/>
            <w:gridSpan w:val="7"/>
            <w:tcBorders>
              <w:top w:val="nil"/>
              <w:left w:val="nil"/>
              <w:bottom w:val="nil"/>
              <w:right w:val="nil"/>
            </w:tcBorders>
            <w:shd w:val="clear" w:color="auto" w:fill="auto"/>
            <w:vAlign w:val="center"/>
          </w:tcPr>
          <w:p w:rsidR="00311A98" w:rsidRPr="00311A98" w:rsidRDefault="00311A98" w:rsidP="00AB3D23">
            <w:pPr>
              <w:tabs>
                <w:tab w:val="left" w:pos="4970"/>
                <w:tab w:val="left" w:pos="6480"/>
              </w:tabs>
              <w:spacing w:before="20" w:after="20"/>
              <w:rPr>
                <w:b/>
                <w:sz w:val="20"/>
                <w:szCs w:val="20"/>
              </w:rPr>
            </w:pPr>
          </w:p>
        </w:tc>
      </w:tr>
      <w:tr w:rsidR="00966B09" w:rsidRPr="00AB3D23" w:rsidTr="00903E52">
        <w:trPr>
          <w:cantSplit/>
          <w:trHeight w:val="238"/>
        </w:trPr>
        <w:tc>
          <w:tcPr>
            <w:tcW w:w="10915" w:type="dxa"/>
            <w:gridSpan w:val="7"/>
            <w:tcBorders>
              <w:top w:val="nil"/>
              <w:left w:val="nil"/>
              <w:bottom w:val="nil"/>
              <w:right w:val="nil"/>
            </w:tcBorders>
            <w:shd w:val="clear" w:color="auto" w:fill="6EC9E0"/>
            <w:vAlign w:val="center"/>
          </w:tcPr>
          <w:p w:rsidR="00966B09" w:rsidRPr="00F2784B" w:rsidRDefault="0018030D" w:rsidP="00AB3D23">
            <w:pPr>
              <w:tabs>
                <w:tab w:val="left" w:pos="4970"/>
                <w:tab w:val="left" w:pos="6480"/>
              </w:tabs>
              <w:spacing w:before="20" w:after="20"/>
              <w:rPr>
                <w:rFonts w:ascii="Sansa Lloyds" w:hAnsi="Sansa Lloyds"/>
                <w:b/>
              </w:rPr>
            </w:pPr>
            <w:r w:rsidRPr="00AB3D23">
              <w:rPr>
                <w:rFonts w:ascii="Sansa Lloyds" w:hAnsi="Sansa Lloyds"/>
                <w:b/>
              </w:rPr>
              <w:t>OPERATIONS</w:t>
            </w:r>
          </w:p>
        </w:tc>
      </w:tr>
      <w:tr w:rsidR="00AB3D23" w:rsidRPr="009F4EEC" w:rsidTr="009A0C6E">
        <w:trPr>
          <w:cantSplit/>
        </w:trPr>
        <w:tc>
          <w:tcPr>
            <w:tcW w:w="10915" w:type="dxa"/>
            <w:gridSpan w:val="7"/>
            <w:tcBorders>
              <w:top w:val="nil"/>
              <w:left w:val="nil"/>
              <w:bottom w:val="nil"/>
              <w:right w:val="nil"/>
            </w:tcBorders>
            <w:shd w:val="clear" w:color="auto" w:fill="auto"/>
          </w:tcPr>
          <w:p w:rsidR="00AB3D23" w:rsidRPr="00AB3D23" w:rsidRDefault="00AB3D23" w:rsidP="00AB3D23">
            <w:pPr>
              <w:rPr>
                <w:sz w:val="20"/>
                <w:szCs w:val="20"/>
              </w:rPr>
            </w:pPr>
          </w:p>
        </w:tc>
      </w:tr>
      <w:tr w:rsidR="00966B09" w:rsidRPr="00461958" w:rsidTr="00C04C9F">
        <w:trPr>
          <w:trHeight w:val="223"/>
        </w:trPr>
        <w:tc>
          <w:tcPr>
            <w:tcW w:w="10915" w:type="dxa"/>
            <w:gridSpan w:val="7"/>
            <w:tcBorders>
              <w:top w:val="nil"/>
              <w:left w:val="nil"/>
              <w:bottom w:val="nil"/>
              <w:right w:val="nil"/>
            </w:tcBorders>
            <w:shd w:val="clear" w:color="auto" w:fill="auto"/>
          </w:tcPr>
          <w:p w:rsidR="00966B09" w:rsidRPr="009F4EEC" w:rsidRDefault="00966B09"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Type of business to be written:  </w:t>
            </w:r>
            <w:r w:rsidRPr="00461958">
              <w:rPr>
                <w:rFonts w:ascii="Arial" w:hAnsi="Arial" w:cs="Arial"/>
                <w:b/>
                <w:sz w:val="20"/>
                <w:szCs w:val="20"/>
              </w:rPr>
              <w:t>Retail</w:t>
            </w:r>
            <w:r w:rsidR="00461958" w:rsidRPr="00461958">
              <w:rPr>
                <w:rFonts w:ascii="Arial" w:hAnsi="Arial" w:cs="Arial"/>
                <w:b/>
                <w:sz w:val="20"/>
                <w:szCs w:val="20"/>
              </w:rPr>
              <w:t xml:space="preserve"> </w:t>
            </w:r>
            <w:r w:rsidR="009A0C6E" w:rsidRPr="00461958">
              <w:rPr>
                <w:rFonts w:ascii="Arial" w:hAnsi="Arial" w:cs="Arial"/>
                <w:b/>
                <w:sz w:val="20"/>
                <w:szCs w:val="20"/>
              </w:rPr>
              <w:t>(doing business with the public)</w:t>
            </w:r>
            <w:r w:rsidRPr="00461958">
              <w:rPr>
                <w:rFonts w:ascii="Arial" w:hAnsi="Arial" w:cs="Arial"/>
                <w:b/>
                <w:sz w:val="20"/>
                <w:szCs w:val="20"/>
              </w:rPr>
              <w:t xml:space="preserv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9F4EEC">
              <w:rPr>
                <w:rFonts w:ascii="Arial" w:hAnsi="Arial" w:cs="Arial"/>
                <w:sz w:val="20"/>
                <w:szCs w:val="20"/>
              </w:rPr>
              <w:fldChar w:fldCharType="end"/>
            </w:r>
            <w:r w:rsidRPr="009F4EEC">
              <w:rPr>
                <w:rFonts w:ascii="Arial" w:hAnsi="Arial" w:cs="Arial"/>
                <w:sz w:val="20"/>
                <w:szCs w:val="20"/>
              </w:rPr>
              <w:t xml:space="preserve">  </w:t>
            </w:r>
            <w:r w:rsidRPr="00461958">
              <w:rPr>
                <w:rFonts w:ascii="Arial" w:hAnsi="Arial" w:cs="Arial"/>
                <w:b/>
                <w:sz w:val="20"/>
                <w:szCs w:val="20"/>
              </w:rPr>
              <w:t xml:space="preserve">Wholesale </w:t>
            </w:r>
            <w:r w:rsidRPr="009F4EEC">
              <w:rPr>
                <w:rFonts w:ascii="Arial" w:hAnsi="Arial" w:cs="Arial"/>
                <w:sz w:val="20"/>
                <w:szCs w:val="20"/>
              </w:rPr>
              <w:fldChar w:fldCharType="begin">
                <w:ffData>
                  <w:name w:val="Check10"/>
                  <w:enabled/>
                  <w:calcOnExit w:val="0"/>
                  <w:checkBox>
                    <w:sizeAuto/>
                    <w:default w:val="0"/>
                  </w:checkBox>
                </w:ffData>
              </w:fldChar>
            </w:r>
            <w:r w:rsidRPr="009F4EEC">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9F4EEC">
              <w:rPr>
                <w:rFonts w:ascii="Arial" w:hAnsi="Arial" w:cs="Arial"/>
                <w:sz w:val="20"/>
                <w:szCs w:val="20"/>
              </w:rPr>
              <w:fldChar w:fldCharType="end"/>
            </w:r>
          </w:p>
        </w:tc>
      </w:tr>
      <w:tr w:rsidR="00C04C9F" w:rsidRPr="00461958" w:rsidTr="00C04C9F">
        <w:trPr>
          <w:trHeight w:val="223"/>
        </w:trPr>
        <w:tc>
          <w:tcPr>
            <w:tcW w:w="10915" w:type="dxa"/>
            <w:gridSpan w:val="7"/>
            <w:tcBorders>
              <w:top w:val="nil"/>
              <w:left w:val="nil"/>
              <w:bottom w:val="single" w:sz="4" w:space="0" w:color="auto"/>
              <w:right w:val="nil"/>
            </w:tcBorders>
            <w:shd w:val="clear" w:color="auto" w:fill="auto"/>
          </w:tcPr>
          <w:p w:rsidR="00C04C9F" w:rsidRPr="00C04C9F" w:rsidRDefault="00C04C9F" w:rsidP="00C04C9F">
            <w:pPr>
              <w:rPr>
                <w:sz w:val="20"/>
                <w:szCs w:val="20"/>
              </w:rPr>
            </w:pPr>
          </w:p>
        </w:tc>
      </w:tr>
      <w:tr w:rsidR="00C04C9F" w:rsidRPr="00461958" w:rsidTr="00C04C9F">
        <w:trPr>
          <w:trHeight w:val="223"/>
        </w:trPr>
        <w:tc>
          <w:tcPr>
            <w:tcW w:w="10915" w:type="dxa"/>
            <w:gridSpan w:val="7"/>
            <w:tcBorders>
              <w:top w:val="single" w:sz="4" w:space="0" w:color="auto"/>
              <w:left w:val="nil"/>
              <w:bottom w:val="nil"/>
              <w:right w:val="nil"/>
            </w:tcBorders>
            <w:shd w:val="clear" w:color="auto" w:fill="auto"/>
          </w:tcPr>
          <w:p w:rsidR="00C04C9F" w:rsidRPr="00C04C9F" w:rsidRDefault="00C04C9F" w:rsidP="00C04C9F">
            <w:pPr>
              <w:rPr>
                <w:sz w:val="20"/>
                <w:szCs w:val="20"/>
              </w:rPr>
            </w:pPr>
          </w:p>
        </w:tc>
      </w:tr>
      <w:tr w:rsidR="00C04C9F" w:rsidRPr="003D45F9" w:rsidTr="00485096">
        <w:trPr>
          <w:trHeight w:val="223"/>
        </w:trPr>
        <w:tc>
          <w:tcPr>
            <w:tcW w:w="10915" w:type="dxa"/>
            <w:gridSpan w:val="7"/>
            <w:tcBorders>
              <w:top w:val="nil"/>
              <w:left w:val="nil"/>
              <w:bottom w:val="nil"/>
              <w:right w:val="nil"/>
            </w:tcBorders>
            <w:shd w:val="clear" w:color="auto" w:fill="auto"/>
          </w:tcPr>
          <w:p w:rsidR="00C04C9F" w:rsidRPr="006255B9" w:rsidRDefault="003D45F9" w:rsidP="006255B9">
            <w:pPr>
              <w:pStyle w:val="ListParagraph"/>
              <w:numPr>
                <w:ilvl w:val="0"/>
                <w:numId w:val="9"/>
              </w:numPr>
              <w:ind w:left="459" w:hanging="425"/>
              <w:rPr>
                <w:rFonts w:ascii="Arial" w:hAnsi="Arial" w:cs="Arial"/>
                <w:sz w:val="20"/>
                <w:szCs w:val="20"/>
              </w:rPr>
            </w:pPr>
            <w:r w:rsidRPr="006255B9">
              <w:rPr>
                <w:rFonts w:ascii="Arial" w:hAnsi="Arial" w:cs="Arial"/>
                <w:sz w:val="20"/>
                <w:szCs w:val="20"/>
                <w:lang w:val="en-US"/>
              </w:rPr>
              <w:t xml:space="preserve">Class </w:t>
            </w:r>
            <w:r w:rsidR="001F38D9" w:rsidRPr="006255B9">
              <w:rPr>
                <w:rFonts w:ascii="Arial" w:hAnsi="Arial" w:cs="Arial"/>
                <w:sz w:val="20"/>
                <w:szCs w:val="20"/>
                <w:lang w:val="en-US"/>
              </w:rPr>
              <w:t>of Business</w:t>
            </w:r>
            <w:r w:rsidRPr="006255B9">
              <w:rPr>
                <w:rFonts w:ascii="Arial" w:hAnsi="Arial" w:cs="Arial"/>
                <w:sz w:val="20"/>
                <w:szCs w:val="20"/>
                <w:lang w:val="en-US"/>
              </w:rPr>
              <w:t xml:space="preserve"> </w:t>
            </w:r>
            <w:r w:rsidR="001F38D9" w:rsidRPr="006255B9">
              <w:rPr>
                <w:rFonts w:ascii="Arial" w:hAnsi="Arial" w:cs="Arial"/>
                <w:sz w:val="20"/>
                <w:szCs w:val="20"/>
                <w:lang w:val="en-US"/>
              </w:rPr>
              <w:t>and approximate volume of business applicant intents to write in Canada</w:t>
            </w:r>
            <w:r w:rsidRPr="006255B9">
              <w:rPr>
                <w:rFonts w:ascii="Arial" w:hAnsi="Arial" w:cs="Arial"/>
                <w:sz w:val="20"/>
                <w:szCs w:val="20"/>
                <w:lang w:val="en-US"/>
              </w:rPr>
              <w:t>.</w:t>
            </w:r>
          </w:p>
          <w:p w:rsidR="006255B9" w:rsidRPr="006255B9" w:rsidRDefault="006255B9" w:rsidP="006255B9">
            <w:pPr>
              <w:rPr>
                <w:sz w:val="20"/>
                <w:szCs w:val="20"/>
              </w:rPr>
            </w:pPr>
          </w:p>
        </w:tc>
      </w:tr>
      <w:tr w:rsidR="006255B9" w:rsidRPr="003D45F9" w:rsidTr="006255B9">
        <w:trPr>
          <w:trHeight w:val="223"/>
        </w:trPr>
        <w:tc>
          <w:tcPr>
            <w:tcW w:w="2269" w:type="dxa"/>
            <w:tcBorders>
              <w:top w:val="nil"/>
              <w:left w:val="nil"/>
              <w:bottom w:val="nil"/>
              <w:right w:val="nil"/>
            </w:tcBorders>
            <w:shd w:val="clear" w:color="auto" w:fill="auto"/>
          </w:tcPr>
          <w:p w:rsidR="006255B9" w:rsidRPr="006255B9" w:rsidRDefault="006255B9" w:rsidP="006255B9">
            <w:pPr>
              <w:pStyle w:val="ListParagraph"/>
              <w:ind w:left="459"/>
              <w:rPr>
                <w:rFonts w:ascii="Arial" w:hAnsi="Arial" w:cs="Arial"/>
                <w:sz w:val="20"/>
                <w:szCs w:val="20"/>
                <w:lang w:val="en-US"/>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w:t>
            </w:r>
            <w:r w:rsidRPr="006255B9">
              <w:rPr>
                <w:rFonts w:ascii="Arial" w:hAnsi="Arial" w:cs="Arial"/>
                <w:sz w:val="20"/>
                <w:szCs w:val="20"/>
                <w:lang w:val="en-US"/>
              </w:rPr>
              <w:t>Automobile</w:t>
            </w:r>
          </w:p>
        </w:tc>
        <w:tc>
          <w:tcPr>
            <w:tcW w:w="8646" w:type="dxa"/>
            <w:gridSpan w:val="6"/>
            <w:tcBorders>
              <w:top w:val="nil"/>
              <w:left w:val="nil"/>
              <w:bottom w:val="nil"/>
              <w:right w:val="nil"/>
            </w:tcBorders>
            <w:shd w:val="clear" w:color="auto" w:fill="auto"/>
          </w:tcPr>
          <w:p w:rsidR="006255B9" w:rsidRPr="006255B9" w:rsidRDefault="006255B9" w:rsidP="006255B9">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255B9" w:rsidRPr="003D45F9" w:rsidTr="006255B9">
        <w:trPr>
          <w:trHeight w:val="223"/>
        </w:trPr>
        <w:tc>
          <w:tcPr>
            <w:tcW w:w="2269" w:type="dxa"/>
            <w:tcBorders>
              <w:top w:val="nil"/>
              <w:left w:val="nil"/>
              <w:bottom w:val="nil"/>
              <w:right w:val="nil"/>
            </w:tcBorders>
            <w:shd w:val="clear" w:color="auto" w:fill="auto"/>
          </w:tcPr>
          <w:p w:rsidR="006255B9" w:rsidRPr="006255B9" w:rsidRDefault="006255B9" w:rsidP="006255B9">
            <w:pPr>
              <w:pStyle w:val="ListParagraph"/>
              <w:ind w:left="459"/>
              <w:rPr>
                <w:rFonts w:ascii="Arial" w:hAnsi="Arial" w:cs="Arial"/>
                <w:sz w:val="20"/>
                <w:szCs w:val="20"/>
                <w:lang w:val="en-US"/>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Commercial</w:t>
            </w:r>
          </w:p>
        </w:tc>
        <w:tc>
          <w:tcPr>
            <w:tcW w:w="8646" w:type="dxa"/>
            <w:gridSpan w:val="6"/>
            <w:tcBorders>
              <w:top w:val="nil"/>
              <w:left w:val="nil"/>
              <w:bottom w:val="nil"/>
              <w:right w:val="nil"/>
            </w:tcBorders>
            <w:shd w:val="clear" w:color="auto" w:fill="auto"/>
          </w:tcPr>
          <w:p w:rsidR="006255B9" w:rsidRPr="006255B9" w:rsidRDefault="006255B9" w:rsidP="007C5334">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6255B9" w:rsidRPr="003D45F9" w:rsidTr="006255B9">
        <w:trPr>
          <w:trHeight w:val="223"/>
        </w:trPr>
        <w:tc>
          <w:tcPr>
            <w:tcW w:w="2269" w:type="dxa"/>
            <w:tcBorders>
              <w:top w:val="nil"/>
              <w:left w:val="nil"/>
              <w:bottom w:val="nil"/>
              <w:right w:val="nil"/>
            </w:tcBorders>
            <w:shd w:val="clear" w:color="auto" w:fill="auto"/>
          </w:tcPr>
          <w:p w:rsidR="006255B9" w:rsidRPr="006255B9" w:rsidRDefault="006255B9" w:rsidP="006255B9">
            <w:pPr>
              <w:pStyle w:val="ListParagraph"/>
              <w:ind w:left="459"/>
              <w:rPr>
                <w:rFonts w:ascii="Arial" w:hAnsi="Arial" w:cs="Arial"/>
                <w:sz w:val="20"/>
                <w:szCs w:val="20"/>
              </w:rPr>
            </w:pPr>
            <w:r w:rsidRPr="006255B9">
              <w:rPr>
                <w:rFonts w:ascii="Arial" w:hAnsi="Arial" w:cs="Arial"/>
                <w:sz w:val="20"/>
                <w:szCs w:val="20"/>
              </w:rPr>
              <w:fldChar w:fldCharType="begin">
                <w:ffData>
                  <w:name w:val="Check3"/>
                  <w:enabled/>
                  <w:calcOnExit w:val="0"/>
                  <w:checkBox>
                    <w:sizeAuto/>
                    <w:default w:val="0"/>
                  </w:checkBox>
                </w:ffData>
              </w:fldChar>
            </w:r>
            <w:r w:rsidRPr="006255B9">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6255B9">
              <w:rPr>
                <w:rFonts w:ascii="Arial" w:hAnsi="Arial" w:cs="Arial"/>
                <w:sz w:val="20"/>
                <w:szCs w:val="20"/>
              </w:rPr>
              <w:fldChar w:fldCharType="end"/>
            </w:r>
            <w:r w:rsidRPr="006255B9">
              <w:rPr>
                <w:rFonts w:ascii="Arial" w:hAnsi="Arial" w:cs="Arial"/>
                <w:sz w:val="20"/>
                <w:szCs w:val="20"/>
              </w:rPr>
              <w:t xml:space="preserve">  Habitational</w:t>
            </w:r>
          </w:p>
        </w:tc>
        <w:tc>
          <w:tcPr>
            <w:tcW w:w="8646" w:type="dxa"/>
            <w:gridSpan w:val="6"/>
            <w:tcBorders>
              <w:top w:val="nil"/>
              <w:left w:val="nil"/>
              <w:bottom w:val="nil"/>
              <w:right w:val="nil"/>
            </w:tcBorders>
            <w:shd w:val="clear" w:color="auto" w:fill="auto"/>
          </w:tcPr>
          <w:p w:rsidR="006255B9" w:rsidRPr="006255B9" w:rsidRDefault="006255B9" w:rsidP="007C5334">
            <w:pPr>
              <w:pStyle w:val="ListParagraph"/>
              <w:ind w:left="33"/>
              <w:rPr>
                <w:rFonts w:ascii="Arial" w:hAnsi="Arial" w:cs="Arial"/>
                <w:sz w:val="20"/>
                <w:szCs w:val="20"/>
                <w:lang w:val="en-US"/>
              </w:rPr>
            </w:pPr>
            <w:r>
              <w:rPr>
                <w:rFonts w:ascii="Arial" w:hAnsi="Arial" w:cs="Arial"/>
                <w:sz w:val="20"/>
                <w:szCs w:val="20"/>
                <w:lang w:val="en-US"/>
              </w:rPr>
              <w:t xml:space="preserve">volume:   </w:t>
            </w:r>
            <w:r w:rsidRPr="009F4EEC">
              <w:rPr>
                <w:sz w:val="20"/>
                <w:szCs w:val="20"/>
              </w:rPr>
              <w:fldChar w:fldCharType="begin">
                <w:ffData>
                  <w:name w:val="Text13"/>
                  <w:enabled/>
                  <w:calcOnExit w:val="0"/>
                  <w:textInput/>
                </w:ffData>
              </w:fldChar>
            </w:r>
            <w:r w:rsidRPr="009F4EEC">
              <w:rPr>
                <w:sz w:val="20"/>
                <w:szCs w:val="20"/>
              </w:rPr>
              <w:instrText xml:space="preserve"> FORMTEXT </w:instrText>
            </w:r>
            <w:r w:rsidRPr="009F4EEC">
              <w:rPr>
                <w:sz w:val="20"/>
                <w:szCs w:val="20"/>
              </w:rPr>
            </w:r>
            <w:r w:rsidRPr="009F4EEC">
              <w:rPr>
                <w:sz w:val="20"/>
                <w:szCs w:val="20"/>
              </w:rPr>
              <w:fldChar w:fldCharType="separate"/>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noProof/>
                <w:sz w:val="20"/>
                <w:szCs w:val="20"/>
              </w:rPr>
              <w:t> </w:t>
            </w:r>
            <w:r w:rsidRPr="009F4EEC">
              <w:rPr>
                <w:sz w:val="20"/>
                <w:szCs w:val="20"/>
              </w:rPr>
              <w:fldChar w:fldCharType="end"/>
            </w:r>
          </w:p>
        </w:tc>
      </w:tr>
      <w:tr w:rsidR="00485096" w:rsidRPr="00461958" w:rsidTr="00485096">
        <w:trPr>
          <w:trHeight w:val="223"/>
        </w:trPr>
        <w:tc>
          <w:tcPr>
            <w:tcW w:w="10915" w:type="dxa"/>
            <w:gridSpan w:val="7"/>
            <w:tcBorders>
              <w:top w:val="nil"/>
              <w:left w:val="nil"/>
              <w:bottom w:val="single" w:sz="4" w:space="0" w:color="auto"/>
              <w:right w:val="nil"/>
            </w:tcBorders>
            <w:shd w:val="clear" w:color="auto" w:fill="auto"/>
          </w:tcPr>
          <w:p w:rsidR="00485096" w:rsidRPr="009F4EEC" w:rsidRDefault="00485096" w:rsidP="00485096">
            <w:pPr>
              <w:pStyle w:val="ListParagraph"/>
              <w:ind w:left="317"/>
              <w:rPr>
                <w:rFonts w:ascii="Arial" w:hAnsi="Arial" w:cs="Arial"/>
                <w:sz w:val="20"/>
                <w:szCs w:val="20"/>
              </w:rPr>
            </w:pPr>
          </w:p>
        </w:tc>
      </w:tr>
      <w:tr w:rsidR="00C04C9F" w:rsidRPr="00C04C9F" w:rsidTr="00C04C9F">
        <w:trPr>
          <w:cantSplit/>
        </w:trPr>
        <w:tc>
          <w:tcPr>
            <w:tcW w:w="10915" w:type="dxa"/>
            <w:gridSpan w:val="7"/>
            <w:tcBorders>
              <w:top w:val="single" w:sz="4" w:space="0" w:color="auto"/>
              <w:left w:val="nil"/>
              <w:bottom w:val="nil"/>
              <w:right w:val="nil"/>
            </w:tcBorders>
            <w:shd w:val="clear" w:color="auto" w:fill="auto"/>
          </w:tcPr>
          <w:p w:rsidR="00C04C9F" w:rsidRDefault="00C04C9F" w:rsidP="00C04C9F">
            <w:pPr>
              <w:pStyle w:val="ListParagraph"/>
              <w:ind w:left="459"/>
              <w:rPr>
                <w:rFonts w:ascii="Arial" w:hAnsi="Arial" w:cs="Arial"/>
                <w:sz w:val="20"/>
                <w:szCs w:val="20"/>
              </w:rPr>
            </w:pPr>
          </w:p>
          <w:p w:rsidR="00C04C9F" w:rsidRPr="00E8445C" w:rsidRDefault="00E8445C" w:rsidP="00C04C9F">
            <w:pPr>
              <w:pStyle w:val="ListParagraph"/>
              <w:numPr>
                <w:ilvl w:val="0"/>
                <w:numId w:val="9"/>
              </w:numPr>
              <w:ind w:left="459" w:hanging="425"/>
              <w:rPr>
                <w:rFonts w:ascii="Arial" w:hAnsi="Arial" w:cs="Arial"/>
                <w:sz w:val="20"/>
                <w:szCs w:val="20"/>
              </w:rPr>
            </w:pPr>
            <w:r w:rsidRPr="00E8445C">
              <w:rPr>
                <w:rFonts w:ascii="Arial" w:hAnsi="Arial" w:cs="Arial"/>
                <w:sz w:val="20"/>
                <w:szCs w:val="20"/>
              </w:rPr>
              <w:t>Your firm is licensed for all class(</w:t>
            </w:r>
            <w:proofErr w:type="spellStart"/>
            <w:r w:rsidRPr="00E8445C">
              <w:rPr>
                <w:rFonts w:ascii="Arial" w:hAnsi="Arial" w:cs="Arial"/>
                <w:sz w:val="20"/>
                <w:szCs w:val="20"/>
              </w:rPr>
              <w:t>es</w:t>
            </w:r>
            <w:proofErr w:type="spellEnd"/>
            <w:r w:rsidRPr="00E8445C">
              <w:rPr>
                <w:rFonts w:ascii="Arial" w:hAnsi="Arial" w:cs="Arial"/>
                <w:sz w:val="20"/>
                <w:szCs w:val="20"/>
              </w:rPr>
              <w:t>) and in the jurisdiction(s) where business</w:t>
            </w:r>
            <w:r w:rsidR="00C04C9F" w:rsidRPr="00E8445C">
              <w:rPr>
                <w:rFonts w:ascii="Arial" w:hAnsi="Arial" w:cs="Arial"/>
                <w:sz w:val="20"/>
                <w:szCs w:val="20"/>
              </w:rPr>
              <w:t xml:space="preserve"> will be written</w:t>
            </w:r>
            <w:r w:rsidRPr="00E8445C">
              <w:rPr>
                <w:rFonts w:ascii="Arial" w:hAnsi="Arial" w:cs="Arial"/>
                <w:sz w:val="20"/>
                <w:szCs w:val="20"/>
              </w:rPr>
              <w:t xml:space="preserve">   </w:t>
            </w:r>
            <w:r w:rsidRPr="00E8445C">
              <w:rPr>
                <w:rFonts w:ascii="Arial" w:hAnsi="Arial" w:cs="Arial"/>
                <w:b/>
                <w:sz w:val="20"/>
                <w:szCs w:val="20"/>
              </w:rPr>
              <w:t>Yes</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E8445C">
              <w:rPr>
                <w:rFonts w:ascii="Arial" w:hAnsi="Arial" w:cs="Arial"/>
                <w:sz w:val="20"/>
                <w:szCs w:val="20"/>
              </w:rPr>
              <w:fldChar w:fldCharType="end"/>
            </w:r>
            <w:r w:rsidRPr="00E8445C">
              <w:rPr>
                <w:rFonts w:ascii="Arial" w:hAnsi="Arial" w:cs="Arial"/>
                <w:sz w:val="20"/>
                <w:szCs w:val="20"/>
              </w:rPr>
              <w:t xml:space="preserve">        </w:t>
            </w:r>
            <w:r w:rsidRPr="00E8445C">
              <w:rPr>
                <w:rFonts w:ascii="Arial" w:hAnsi="Arial" w:cs="Arial"/>
                <w:b/>
                <w:sz w:val="20"/>
                <w:szCs w:val="20"/>
              </w:rPr>
              <w:t>No</w:t>
            </w:r>
            <w:r w:rsidRPr="00E8445C">
              <w:rPr>
                <w:rFonts w:ascii="Arial" w:hAnsi="Arial" w:cs="Arial"/>
                <w:sz w:val="20"/>
                <w:szCs w:val="20"/>
              </w:rPr>
              <w:t xml:space="preserve"> </w:t>
            </w:r>
            <w:r w:rsidRPr="00E8445C">
              <w:rPr>
                <w:rFonts w:ascii="Arial" w:hAnsi="Arial" w:cs="Arial"/>
                <w:sz w:val="20"/>
                <w:szCs w:val="20"/>
              </w:rPr>
              <w:fldChar w:fldCharType="begin">
                <w:ffData>
                  <w:name w:val="Check3"/>
                  <w:enabled/>
                  <w:calcOnExit w:val="0"/>
                  <w:checkBox>
                    <w:sizeAuto/>
                    <w:default w:val="0"/>
                  </w:checkBox>
                </w:ffData>
              </w:fldChar>
            </w:r>
            <w:r w:rsidRPr="00E8445C">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E8445C">
              <w:rPr>
                <w:rFonts w:ascii="Arial" w:hAnsi="Arial" w:cs="Arial"/>
                <w:sz w:val="20"/>
                <w:szCs w:val="20"/>
              </w:rPr>
              <w:fldChar w:fldCharType="end"/>
            </w:r>
          </w:p>
          <w:p w:rsidR="00C04C9F" w:rsidRPr="00C04C9F" w:rsidRDefault="00C04C9F" w:rsidP="007C5334">
            <w:pPr>
              <w:ind w:left="459" w:hanging="425"/>
              <w:rPr>
                <w:sz w:val="20"/>
                <w:szCs w:val="20"/>
              </w:rPr>
            </w:pPr>
          </w:p>
        </w:tc>
      </w:tr>
      <w:tr w:rsidR="00C04C9F" w:rsidRPr="00C04C9F" w:rsidTr="007C5334">
        <w:trPr>
          <w:trHeight w:val="226"/>
        </w:trPr>
        <w:tc>
          <w:tcPr>
            <w:tcW w:w="2327" w:type="dxa"/>
            <w:gridSpan w:val="2"/>
            <w:tcBorders>
              <w:top w:val="nil"/>
              <w:left w:val="nil"/>
              <w:bottom w:val="nil"/>
            </w:tcBorders>
            <w:shd w:val="clear" w:color="auto" w:fill="auto"/>
          </w:tcPr>
          <w:p w:rsidR="00C04C9F" w:rsidRPr="00C04C9F" w:rsidRDefault="00C04C9F" w:rsidP="007C5334">
            <w:pPr>
              <w:ind w:left="459"/>
              <w:rPr>
                <w:sz w:val="20"/>
                <w:szCs w:val="20"/>
              </w:rPr>
            </w:pPr>
            <w:r w:rsidRPr="00C04C9F">
              <w:rPr>
                <w:sz w:val="20"/>
                <w:szCs w:val="20"/>
              </w:rPr>
              <w:t>Alberta</w:t>
            </w:r>
          </w:p>
        </w:tc>
        <w:tc>
          <w:tcPr>
            <w:tcW w:w="1494"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3"/>
                  <w:enabled/>
                  <w:calcOnExit w:val="0"/>
                  <w:checkBox>
                    <w:sizeAuto/>
                    <w:default w:val="0"/>
                  </w:checkBox>
                </w:ffData>
              </w:fldChar>
            </w:r>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p>
        </w:tc>
        <w:tc>
          <w:tcPr>
            <w:tcW w:w="2166" w:type="dxa"/>
            <w:tcBorders>
              <w:top w:val="nil"/>
              <w:bottom w:val="nil"/>
            </w:tcBorders>
            <w:shd w:val="clear" w:color="auto" w:fill="auto"/>
          </w:tcPr>
          <w:p w:rsidR="00C04C9F" w:rsidRPr="00C04C9F" w:rsidRDefault="00C04C9F" w:rsidP="007C5334">
            <w:pPr>
              <w:rPr>
                <w:sz w:val="20"/>
                <w:szCs w:val="20"/>
              </w:rPr>
            </w:pPr>
            <w:r w:rsidRPr="00C04C9F">
              <w:rPr>
                <w:sz w:val="20"/>
                <w:szCs w:val="20"/>
              </w:rPr>
              <w:t>Northwest Territories</w:t>
            </w:r>
          </w:p>
        </w:tc>
        <w:tc>
          <w:tcPr>
            <w:tcW w:w="806"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16"/>
                  <w:enabled/>
                  <w:calcOnExit w:val="0"/>
                  <w:checkBox>
                    <w:sizeAuto/>
                    <w:default w:val="0"/>
                  </w:checkBox>
                </w:ffData>
              </w:fldChar>
            </w:r>
            <w:bookmarkStart w:id="1" w:name="Check16"/>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1"/>
            <w:r w:rsidRPr="00C04C9F">
              <w:rPr>
                <w:sz w:val="20"/>
                <w:szCs w:val="20"/>
              </w:rPr>
              <w:t xml:space="preserve"> </w:t>
            </w:r>
          </w:p>
        </w:tc>
        <w:tc>
          <w:tcPr>
            <w:tcW w:w="2336" w:type="dxa"/>
            <w:tcBorders>
              <w:top w:val="nil"/>
              <w:bottom w:val="nil"/>
            </w:tcBorders>
            <w:shd w:val="clear" w:color="auto" w:fill="auto"/>
          </w:tcPr>
          <w:p w:rsidR="00C04C9F" w:rsidRPr="00C04C9F" w:rsidRDefault="00C04C9F" w:rsidP="007C5334">
            <w:pPr>
              <w:rPr>
                <w:sz w:val="20"/>
                <w:szCs w:val="20"/>
              </w:rPr>
            </w:pPr>
            <w:r w:rsidRPr="00C04C9F">
              <w:rPr>
                <w:sz w:val="20"/>
                <w:szCs w:val="20"/>
              </w:rPr>
              <w:t>Québec</w:t>
            </w:r>
          </w:p>
        </w:tc>
        <w:tc>
          <w:tcPr>
            <w:tcW w:w="1786" w:type="dxa"/>
            <w:tcBorders>
              <w:top w:val="nil"/>
              <w:bottom w:val="nil"/>
              <w:right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7"/>
                  <w:enabled/>
                  <w:calcOnExit w:val="0"/>
                  <w:checkBox>
                    <w:sizeAuto/>
                    <w:default w:val="0"/>
                  </w:checkBox>
                </w:ffData>
              </w:fldChar>
            </w:r>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p>
        </w:tc>
      </w:tr>
      <w:tr w:rsidR="00C04C9F" w:rsidRPr="00C04C9F" w:rsidTr="007C5334">
        <w:trPr>
          <w:trHeight w:val="226"/>
        </w:trPr>
        <w:tc>
          <w:tcPr>
            <w:tcW w:w="2327" w:type="dxa"/>
            <w:gridSpan w:val="2"/>
            <w:tcBorders>
              <w:top w:val="nil"/>
              <w:left w:val="nil"/>
              <w:bottom w:val="nil"/>
            </w:tcBorders>
            <w:shd w:val="clear" w:color="auto" w:fill="auto"/>
          </w:tcPr>
          <w:p w:rsidR="00C04C9F" w:rsidRPr="00C04C9F" w:rsidRDefault="00C04C9F" w:rsidP="007C5334">
            <w:pPr>
              <w:ind w:left="459"/>
              <w:rPr>
                <w:sz w:val="20"/>
                <w:szCs w:val="20"/>
              </w:rPr>
            </w:pPr>
            <w:r w:rsidRPr="00C04C9F">
              <w:rPr>
                <w:sz w:val="20"/>
                <w:szCs w:val="20"/>
              </w:rPr>
              <w:t>British Columbia</w:t>
            </w:r>
          </w:p>
        </w:tc>
        <w:tc>
          <w:tcPr>
            <w:tcW w:w="1494"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4"/>
                  <w:enabled/>
                  <w:calcOnExit w:val="0"/>
                  <w:checkBox>
                    <w:sizeAuto/>
                    <w:default w:val="0"/>
                  </w:checkBox>
                </w:ffData>
              </w:fldChar>
            </w:r>
            <w:bookmarkStart w:id="2" w:name="Check4"/>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2"/>
          </w:p>
        </w:tc>
        <w:tc>
          <w:tcPr>
            <w:tcW w:w="2166" w:type="dxa"/>
            <w:tcBorders>
              <w:top w:val="nil"/>
              <w:bottom w:val="nil"/>
            </w:tcBorders>
            <w:shd w:val="clear" w:color="auto" w:fill="auto"/>
          </w:tcPr>
          <w:p w:rsidR="00C04C9F" w:rsidRPr="00C04C9F" w:rsidRDefault="00C04C9F" w:rsidP="007C5334">
            <w:pPr>
              <w:rPr>
                <w:sz w:val="20"/>
                <w:szCs w:val="20"/>
              </w:rPr>
            </w:pPr>
            <w:r w:rsidRPr="00C04C9F">
              <w:rPr>
                <w:sz w:val="20"/>
                <w:szCs w:val="20"/>
              </w:rPr>
              <w:t>Nova Scotia</w:t>
            </w:r>
          </w:p>
        </w:tc>
        <w:tc>
          <w:tcPr>
            <w:tcW w:w="806"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8"/>
                  <w:enabled/>
                  <w:calcOnExit w:val="0"/>
                  <w:checkBox>
                    <w:sizeAuto/>
                    <w:default w:val="0"/>
                  </w:checkBox>
                </w:ffData>
              </w:fldChar>
            </w:r>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p>
        </w:tc>
        <w:tc>
          <w:tcPr>
            <w:tcW w:w="2336" w:type="dxa"/>
            <w:tcBorders>
              <w:top w:val="nil"/>
              <w:bottom w:val="nil"/>
            </w:tcBorders>
            <w:shd w:val="clear" w:color="auto" w:fill="auto"/>
          </w:tcPr>
          <w:p w:rsidR="00C04C9F" w:rsidRPr="00C04C9F" w:rsidRDefault="00C04C9F" w:rsidP="007C5334">
            <w:pPr>
              <w:rPr>
                <w:sz w:val="20"/>
                <w:szCs w:val="20"/>
              </w:rPr>
            </w:pPr>
            <w:r w:rsidRPr="00C04C9F">
              <w:rPr>
                <w:sz w:val="20"/>
                <w:szCs w:val="20"/>
              </w:rPr>
              <w:t>Saskatchewan</w:t>
            </w:r>
          </w:p>
        </w:tc>
        <w:tc>
          <w:tcPr>
            <w:tcW w:w="1786" w:type="dxa"/>
            <w:tcBorders>
              <w:top w:val="nil"/>
              <w:bottom w:val="nil"/>
              <w:right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12"/>
                  <w:enabled/>
                  <w:calcOnExit w:val="0"/>
                  <w:checkBox>
                    <w:sizeAuto/>
                    <w:default w:val="0"/>
                  </w:checkBox>
                </w:ffData>
              </w:fldChar>
            </w:r>
            <w:bookmarkStart w:id="3" w:name="Check12"/>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3"/>
          </w:p>
        </w:tc>
      </w:tr>
      <w:tr w:rsidR="00C04C9F" w:rsidRPr="00C04C9F" w:rsidTr="007C5334">
        <w:trPr>
          <w:trHeight w:val="226"/>
        </w:trPr>
        <w:tc>
          <w:tcPr>
            <w:tcW w:w="2327" w:type="dxa"/>
            <w:gridSpan w:val="2"/>
            <w:tcBorders>
              <w:top w:val="nil"/>
              <w:left w:val="nil"/>
              <w:bottom w:val="nil"/>
            </w:tcBorders>
            <w:shd w:val="clear" w:color="auto" w:fill="auto"/>
          </w:tcPr>
          <w:p w:rsidR="00C04C9F" w:rsidRPr="00C04C9F" w:rsidRDefault="00C04C9F" w:rsidP="007C5334">
            <w:pPr>
              <w:ind w:left="459"/>
              <w:rPr>
                <w:sz w:val="20"/>
                <w:szCs w:val="20"/>
              </w:rPr>
            </w:pPr>
            <w:r w:rsidRPr="00C04C9F">
              <w:rPr>
                <w:sz w:val="20"/>
                <w:szCs w:val="20"/>
              </w:rPr>
              <w:t>Manitoba</w:t>
            </w:r>
          </w:p>
        </w:tc>
        <w:tc>
          <w:tcPr>
            <w:tcW w:w="1494"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5"/>
                  <w:enabled/>
                  <w:calcOnExit w:val="0"/>
                  <w:checkBox>
                    <w:sizeAuto/>
                    <w:default w:val="0"/>
                  </w:checkBox>
                </w:ffData>
              </w:fldChar>
            </w:r>
            <w:bookmarkStart w:id="4" w:name="Check5"/>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4"/>
          </w:p>
        </w:tc>
        <w:tc>
          <w:tcPr>
            <w:tcW w:w="2166" w:type="dxa"/>
            <w:tcBorders>
              <w:top w:val="nil"/>
              <w:bottom w:val="nil"/>
            </w:tcBorders>
            <w:shd w:val="clear" w:color="auto" w:fill="auto"/>
          </w:tcPr>
          <w:p w:rsidR="00C04C9F" w:rsidRPr="00C04C9F" w:rsidRDefault="00C04C9F" w:rsidP="007C5334">
            <w:pPr>
              <w:rPr>
                <w:sz w:val="20"/>
                <w:szCs w:val="20"/>
              </w:rPr>
            </w:pPr>
            <w:r w:rsidRPr="00C04C9F">
              <w:rPr>
                <w:sz w:val="20"/>
                <w:szCs w:val="20"/>
              </w:rPr>
              <w:t>Nunavut</w:t>
            </w:r>
          </w:p>
        </w:tc>
        <w:tc>
          <w:tcPr>
            <w:tcW w:w="806" w:type="dxa"/>
            <w:tcBorders>
              <w:top w:val="nil"/>
              <w:bottom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15"/>
                  <w:enabled/>
                  <w:calcOnExit w:val="0"/>
                  <w:checkBox>
                    <w:sizeAuto/>
                    <w:default w:val="0"/>
                  </w:checkBox>
                </w:ffData>
              </w:fldChar>
            </w:r>
            <w:bookmarkStart w:id="5" w:name="Check15"/>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5"/>
          </w:p>
        </w:tc>
        <w:tc>
          <w:tcPr>
            <w:tcW w:w="2336" w:type="dxa"/>
            <w:tcBorders>
              <w:top w:val="nil"/>
              <w:bottom w:val="nil"/>
            </w:tcBorders>
            <w:shd w:val="clear" w:color="auto" w:fill="auto"/>
          </w:tcPr>
          <w:p w:rsidR="00C04C9F" w:rsidRPr="00C04C9F" w:rsidRDefault="00C04C9F" w:rsidP="007C5334">
            <w:pPr>
              <w:rPr>
                <w:sz w:val="20"/>
                <w:szCs w:val="20"/>
              </w:rPr>
            </w:pPr>
            <w:r w:rsidRPr="00C04C9F">
              <w:rPr>
                <w:sz w:val="20"/>
                <w:szCs w:val="20"/>
              </w:rPr>
              <w:t>Yukon</w:t>
            </w:r>
          </w:p>
        </w:tc>
        <w:tc>
          <w:tcPr>
            <w:tcW w:w="1786" w:type="dxa"/>
            <w:tcBorders>
              <w:top w:val="nil"/>
              <w:bottom w:val="nil"/>
              <w:right w:val="nil"/>
            </w:tcBorders>
            <w:shd w:val="clear" w:color="auto" w:fill="auto"/>
          </w:tcPr>
          <w:p w:rsidR="00C04C9F" w:rsidRPr="00C04C9F" w:rsidRDefault="00C04C9F" w:rsidP="007C5334">
            <w:pPr>
              <w:rPr>
                <w:sz w:val="20"/>
                <w:szCs w:val="20"/>
              </w:rPr>
            </w:pPr>
            <w:r w:rsidRPr="00C04C9F">
              <w:rPr>
                <w:sz w:val="20"/>
                <w:szCs w:val="20"/>
              </w:rPr>
              <w:fldChar w:fldCharType="begin">
                <w:ffData>
                  <w:name w:val="Check13"/>
                  <w:enabled/>
                  <w:calcOnExit w:val="0"/>
                  <w:checkBox>
                    <w:sizeAuto/>
                    <w:default w:val="0"/>
                  </w:checkBox>
                </w:ffData>
              </w:fldChar>
            </w:r>
            <w:bookmarkStart w:id="6" w:name="Check13"/>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6"/>
          </w:p>
        </w:tc>
      </w:tr>
      <w:tr w:rsidR="00C04C9F" w:rsidRPr="00C04C9F" w:rsidTr="00F928CE">
        <w:trPr>
          <w:trHeight w:val="105"/>
        </w:trPr>
        <w:tc>
          <w:tcPr>
            <w:tcW w:w="2327" w:type="dxa"/>
            <w:gridSpan w:val="2"/>
            <w:tcBorders>
              <w:top w:val="nil"/>
              <w:left w:val="nil"/>
              <w:bottom w:val="nil"/>
            </w:tcBorders>
            <w:shd w:val="clear" w:color="auto" w:fill="auto"/>
          </w:tcPr>
          <w:p w:rsidR="00C04C9F" w:rsidRPr="00C04C9F" w:rsidRDefault="00C04C9F" w:rsidP="00F928CE">
            <w:pPr>
              <w:ind w:left="459"/>
              <w:rPr>
                <w:sz w:val="20"/>
                <w:szCs w:val="20"/>
              </w:rPr>
            </w:pPr>
            <w:r w:rsidRPr="00C04C9F">
              <w:rPr>
                <w:sz w:val="20"/>
                <w:szCs w:val="20"/>
              </w:rPr>
              <w:t>New Brunswick</w:t>
            </w:r>
          </w:p>
        </w:tc>
        <w:tc>
          <w:tcPr>
            <w:tcW w:w="1494" w:type="dxa"/>
            <w:tcBorders>
              <w:top w:val="nil"/>
              <w:bottom w:val="nil"/>
            </w:tcBorders>
            <w:shd w:val="clear" w:color="auto" w:fill="auto"/>
          </w:tcPr>
          <w:p w:rsidR="00C04C9F" w:rsidRPr="00C04C9F" w:rsidRDefault="00C04C9F" w:rsidP="00F928CE">
            <w:pPr>
              <w:rPr>
                <w:sz w:val="20"/>
                <w:szCs w:val="20"/>
              </w:rPr>
            </w:pPr>
            <w:r w:rsidRPr="00C04C9F">
              <w:rPr>
                <w:sz w:val="20"/>
                <w:szCs w:val="20"/>
              </w:rPr>
              <w:fldChar w:fldCharType="begin">
                <w:ffData>
                  <w:name w:val="Check11"/>
                  <w:enabled/>
                  <w:calcOnExit w:val="0"/>
                  <w:checkBox>
                    <w:sizeAuto/>
                    <w:default w:val="0"/>
                  </w:checkBox>
                </w:ffData>
              </w:fldChar>
            </w:r>
            <w:bookmarkStart w:id="7" w:name="Check11"/>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7"/>
          </w:p>
        </w:tc>
        <w:tc>
          <w:tcPr>
            <w:tcW w:w="2166" w:type="dxa"/>
            <w:tcBorders>
              <w:top w:val="nil"/>
              <w:bottom w:val="nil"/>
            </w:tcBorders>
            <w:shd w:val="clear" w:color="auto" w:fill="auto"/>
          </w:tcPr>
          <w:p w:rsidR="00C04C9F" w:rsidRPr="00C04C9F" w:rsidRDefault="00C04C9F" w:rsidP="00F928CE">
            <w:pPr>
              <w:rPr>
                <w:sz w:val="20"/>
                <w:szCs w:val="20"/>
              </w:rPr>
            </w:pPr>
            <w:r w:rsidRPr="00C04C9F">
              <w:rPr>
                <w:sz w:val="20"/>
                <w:szCs w:val="20"/>
              </w:rPr>
              <w:t>Ontario</w:t>
            </w:r>
          </w:p>
        </w:tc>
        <w:tc>
          <w:tcPr>
            <w:tcW w:w="806" w:type="dxa"/>
            <w:tcBorders>
              <w:top w:val="nil"/>
              <w:bottom w:val="nil"/>
            </w:tcBorders>
            <w:shd w:val="clear" w:color="auto" w:fill="auto"/>
          </w:tcPr>
          <w:p w:rsidR="00C04C9F" w:rsidRPr="00C04C9F" w:rsidRDefault="00C04C9F" w:rsidP="00F928CE">
            <w:pPr>
              <w:rPr>
                <w:sz w:val="20"/>
                <w:szCs w:val="20"/>
              </w:rPr>
            </w:pPr>
            <w:r w:rsidRPr="00C04C9F">
              <w:rPr>
                <w:sz w:val="20"/>
                <w:szCs w:val="20"/>
              </w:rPr>
              <w:fldChar w:fldCharType="begin">
                <w:ffData>
                  <w:name w:val="Check6"/>
                  <w:enabled/>
                  <w:calcOnExit w:val="0"/>
                  <w:checkBox>
                    <w:sizeAuto/>
                    <w:default w:val="0"/>
                  </w:checkBox>
                </w:ffData>
              </w:fldChar>
            </w:r>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p>
        </w:tc>
        <w:tc>
          <w:tcPr>
            <w:tcW w:w="2336" w:type="dxa"/>
            <w:tcBorders>
              <w:top w:val="nil"/>
              <w:bottom w:val="nil"/>
            </w:tcBorders>
            <w:shd w:val="clear" w:color="auto" w:fill="auto"/>
          </w:tcPr>
          <w:p w:rsidR="00C04C9F" w:rsidRPr="00C04C9F" w:rsidRDefault="00C04C9F" w:rsidP="00F928CE">
            <w:pPr>
              <w:rPr>
                <w:color w:val="FFFFFF"/>
                <w:sz w:val="20"/>
                <w:szCs w:val="20"/>
              </w:rPr>
            </w:pPr>
          </w:p>
        </w:tc>
        <w:tc>
          <w:tcPr>
            <w:tcW w:w="1786" w:type="dxa"/>
            <w:tcBorders>
              <w:top w:val="nil"/>
              <w:bottom w:val="nil"/>
              <w:right w:val="nil"/>
            </w:tcBorders>
            <w:shd w:val="clear" w:color="auto" w:fill="auto"/>
          </w:tcPr>
          <w:p w:rsidR="00C04C9F" w:rsidRPr="00C04C9F" w:rsidRDefault="00C04C9F" w:rsidP="00F928CE">
            <w:pPr>
              <w:rPr>
                <w:color w:val="FFFFFF"/>
                <w:sz w:val="20"/>
                <w:szCs w:val="20"/>
              </w:rPr>
            </w:pPr>
          </w:p>
        </w:tc>
      </w:tr>
      <w:tr w:rsidR="00C04C9F" w:rsidRPr="009F4EEC" w:rsidTr="007C5334">
        <w:trPr>
          <w:trHeight w:val="226"/>
        </w:trPr>
        <w:tc>
          <w:tcPr>
            <w:tcW w:w="2327" w:type="dxa"/>
            <w:gridSpan w:val="2"/>
            <w:tcBorders>
              <w:top w:val="nil"/>
              <w:left w:val="nil"/>
              <w:bottom w:val="nil"/>
            </w:tcBorders>
            <w:shd w:val="clear" w:color="auto" w:fill="auto"/>
          </w:tcPr>
          <w:p w:rsidR="00C04C9F" w:rsidRPr="00C04C9F" w:rsidRDefault="00C04C9F" w:rsidP="00F928CE">
            <w:pPr>
              <w:ind w:left="459"/>
              <w:rPr>
                <w:sz w:val="20"/>
                <w:szCs w:val="20"/>
              </w:rPr>
            </w:pPr>
            <w:r w:rsidRPr="00C04C9F">
              <w:rPr>
                <w:sz w:val="20"/>
                <w:szCs w:val="20"/>
              </w:rPr>
              <w:t>Newfoundland</w:t>
            </w:r>
          </w:p>
        </w:tc>
        <w:tc>
          <w:tcPr>
            <w:tcW w:w="1494" w:type="dxa"/>
            <w:tcBorders>
              <w:top w:val="nil"/>
              <w:bottom w:val="nil"/>
            </w:tcBorders>
            <w:shd w:val="clear" w:color="auto" w:fill="auto"/>
          </w:tcPr>
          <w:p w:rsidR="00C04C9F" w:rsidRPr="00C04C9F" w:rsidRDefault="00C04C9F" w:rsidP="00F928CE">
            <w:pPr>
              <w:rPr>
                <w:sz w:val="20"/>
                <w:szCs w:val="20"/>
              </w:rPr>
            </w:pPr>
            <w:r w:rsidRPr="00C04C9F">
              <w:rPr>
                <w:sz w:val="20"/>
                <w:szCs w:val="20"/>
              </w:rPr>
              <w:fldChar w:fldCharType="begin">
                <w:ffData>
                  <w:name w:val="Check9"/>
                  <w:enabled/>
                  <w:calcOnExit w:val="0"/>
                  <w:checkBox>
                    <w:sizeAuto/>
                    <w:default w:val="0"/>
                  </w:checkBox>
                </w:ffData>
              </w:fldChar>
            </w:r>
            <w:bookmarkStart w:id="8" w:name="Check9"/>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8"/>
          </w:p>
        </w:tc>
        <w:tc>
          <w:tcPr>
            <w:tcW w:w="2166" w:type="dxa"/>
            <w:tcBorders>
              <w:top w:val="nil"/>
              <w:bottom w:val="nil"/>
            </w:tcBorders>
            <w:shd w:val="clear" w:color="auto" w:fill="auto"/>
          </w:tcPr>
          <w:p w:rsidR="00C04C9F" w:rsidRPr="00C04C9F" w:rsidRDefault="00C04C9F" w:rsidP="00F928CE">
            <w:pPr>
              <w:rPr>
                <w:sz w:val="20"/>
                <w:szCs w:val="20"/>
              </w:rPr>
            </w:pPr>
            <w:r w:rsidRPr="00C04C9F">
              <w:rPr>
                <w:sz w:val="20"/>
                <w:szCs w:val="20"/>
              </w:rPr>
              <w:t>Prince Edward Island</w:t>
            </w:r>
          </w:p>
        </w:tc>
        <w:tc>
          <w:tcPr>
            <w:tcW w:w="806" w:type="dxa"/>
            <w:tcBorders>
              <w:top w:val="nil"/>
              <w:bottom w:val="nil"/>
            </w:tcBorders>
            <w:shd w:val="clear" w:color="auto" w:fill="auto"/>
          </w:tcPr>
          <w:p w:rsidR="00C04C9F" w:rsidRPr="009F4EEC" w:rsidRDefault="00C04C9F" w:rsidP="00F928CE">
            <w:pPr>
              <w:rPr>
                <w:sz w:val="20"/>
                <w:szCs w:val="20"/>
              </w:rPr>
            </w:pPr>
            <w:r w:rsidRPr="00C04C9F">
              <w:rPr>
                <w:sz w:val="20"/>
                <w:szCs w:val="20"/>
              </w:rPr>
              <w:fldChar w:fldCharType="begin">
                <w:ffData>
                  <w:name w:val="Check10"/>
                  <w:enabled/>
                  <w:calcOnExit w:val="0"/>
                  <w:checkBox>
                    <w:sizeAuto/>
                    <w:default w:val="0"/>
                  </w:checkBox>
                </w:ffData>
              </w:fldChar>
            </w:r>
            <w:bookmarkStart w:id="9" w:name="Check10"/>
            <w:r w:rsidRPr="00C04C9F">
              <w:rPr>
                <w:sz w:val="20"/>
                <w:szCs w:val="20"/>
              </w:rPr>
              <w:instrText xml:space="preserve"> FORMCHECKBOX </w:instrText>
            </w:r>
            <w:r w:rsidR="00132F4A">
              <w:rPr>
                <w:sz w:val="20"/>
                <w:szCs w:val="20"/>
              </w:rPr>
            </w:r>
            <w:r w:rsidR="00132F4A">
              <w:rPr>
                <w:sz w:val="20"/>
                <w:szCs w:val="20"/>
              </w:rPr>
              <w:fldChar w:fldCharType="separate"/>
            </w:r>
            <w:r w:rsidRPr="00C04C9F">
              <w:rPr>
                <w:sz w:val="20"/>
                <w:szCs w:val="20"/>
              </w:rPr>
              <w:fldChar w:fldCharType="end"/>
            </w:r>
            <w:bookmarkEnd w:id="9"/>
          </w:p>
        </w:tc>
        <w:tc>
          <w:tcPr>
            <w:tcW w:w="2336" w:type="dxa"/>
            <w:tcBorders>
              <w:top w:val="nil"/>
              <w:bottom w:val="nil"/>
            </w:tcBorders>
            <w:shd w:val="clear" w:color="auto" w:fill="auto"/>
          </w:tcPr>
          <w:p w:rsidR="00C04C9F" w:rsidRPr="009F4EEC" w:rsidRDefault="00C04C9F" w:rsidP="00F928CE">
            <w:pPr>
              <w:rPr>
                <w:color w:val="FFFFFF"/>
                <w:sz w:val="20"/>
                <w:szCs w:val="20"/>
              </w:rPr>
            </w:pPr>
          </w:p>
        </w:tc>
        <w:tc>
          <w:tcPr>
            <w:tcW w:w="1786" w:type="dxa"/>
            <w:tcBorders>
              <w:top w:val="nil"/>
              <w:bottom w:val="nil"/>
              <w:right w:val="nil"/>
            </w:tcBorders>
            <w:shd w:val="clear" w:color="auto" w:fill="auto"/>
          </w:tcPr>
          <w:p w:rsidR="00C04C9F" w:rsidRPr="009F4EEC" w:rsidRDefault="00C04C9F" w:rsidP="00F928CE">
            <w:pPr>
              <w:rPr>
                <w:color w:val="FFFFFF"/>
                <w:sz w:val="20"/>
                <w:szCs w:val="20"/>
              </w:rPr>
            </w:pPr>
          </w:p>
        </w:tc>
      </w:tr>
      <w:tr w:rsidR="00C04C9F" w:rsidRPr="009F4EEC" w:rsidTr="002455A1">
        <w:trPr>
          <w:trHeight w:val="217"/>
        </w:trPr>
        <w:tc>
          <w:tcPr>
            <w:tcW w:w="2327" w:type="dxa"/>
            <w:gridSpan w:val="2"/>
            <w:tcBorders>
              <w:top w:val="nil"/>
              <w:left w:val="nil"/>
              <w:bottom w:val="single" w:sz="4" w:space="0" w:color="auto"/>
            </w:tcBorders>
            <w:shd w:val="clear" w:color="auto" w:fill="auto"/>
          </w:tcPr>
          <w:p w:rsidR="00C04C9F" w:rsidRPr="009F4EEC" w:rsidRDefault="00C04C9F" w:rsidP="007C5334">
            <w:pPr>
              <w:rPr>
                <w:sz w:val="20"/>
                <w:szCs w:val="20"/>
              </w:rPr>
            </w:pPr>
          </w:p>
        </w:tc>
        <w:tc>
          <w:tcPr>
            <w:tcW w:w="1494" w:type="dxa"/>
            <w:tcBorders>
              <w:top w:val="nil"/>
              <w:bottom w:val="single" w:sz="4" w:space="0" w:color="auto"/>
            </w:tcBorders>
            <w:shd w:val="clear" w:color="auto" w:fill="auto"/>
          </w:tcPr>
          <w:p w:rsidR="00C04C9F" w:rsidRPr="009F4EEC" w:rsidRDefault="00C04C9F" w:rsidP="007C5334">
            <w:pPr>
              <w:rPr>
                <w:sz w:val="20"/>
                <w:szCs w:val="20"/>
              </w:rPr>
            </w:pPr>
          </w:p>
        </w:tc>
        <w:tc>
          <w:tcPr>
            <w:tcW w:w="2166" w:type="dxa"/>
            <w:tcBorders>
              <w:top w:val="nil"/>
              <w:bottom w:val="single" w:sz="4" w:space="0" w:color="auto"/>
            </w:tcBorders>
            <w:shd w:val="clear" w:color="auto" w:fill="auto"/>
          </w:tcPr>
          <w:p w:rsidR="00C04C9F" w:rsidRPr="009F4EEC" w:rsidRDefault="00C04C9F" w:rsidP="007C5334">
            <w:pPr>
              <w:rPr>
                <w:sz w:val="20"/>
                <w:szCs w:val="20"/>
              </w:rPr>
            </w:pPr>
          </w:p>
        </w:tc>
        <w:tc>
          <w:tcPr>
            <w:tcW w:w="806" w:type="dxa"/>
            <w:tcBorders>
              <w:top w:val="nil"/>
              <w:bottom w:val="single" w:sz="4" w:space="0" w:color="auto"/>
            </w:tcBorders>
            <w:shd w:val="clear" w:color="auto" w:fill="auto"/>
          </w:tcPr>
          <w:p w:rsidR="00C04C9F" w:rsidRPr="009F4EEC" w:rsidRDefault="00C04C9F" w:rsidP="007C5334">
            <w:pPr>
              <w:rPr>
                <w:sz w:val="20"/>
                <w:szCs w:val="20"/>
              </w:rPr>
            </w:pPr>
          </w:p>
        </w:tc>
        <w:tc>
          <w:tcPr>
            <w:tcW w:w="2336" w:type="dxa"/>
            <w:tcBorders>
              <w:top w:val="nil"/>
              <w:bottom w:val="single" w:sz="4" w:space="0" w:color="auto"/>
            </w:tcBorders>
            <w:shd w:val="clear" w:color="auto" w:fill="auto"/>
          </w:tcPr>
          <w:p w:rsidR="00C04C9F" w:rsidRPr="009F4EEC" w:rsidRDefault="00C04C9F" w:rsidP="007C5334">
            <w:pPr>
              <w:spacing w:before="20" w:after="20"/>
              <w:rPr>
                <w:color w:val="FFFFFF"/>
                <w:sz w:val="20"/>
                <w:szCs w:val="20"/>
              </w:rPr>
            </w:pPr>
          </w:p>
        </w:tc>
        <w:tc>
          <w:tcPr>
            <w:tcW w:w="1786" w:type="dxa"/>
            <w:tcBorders>
              <w:top w:val="nil"/>
              <w:bottom w:val="single" w:sz="4" w:space="0" w:color="auto"/>
              <w:right w:val="nil"/>
            </w:tcBorders>
            <w:shd w:val="clear" w:color="auto" w:fill="auto"/>
          </w:tcPr>
          <w:p w:rsidR="00C04C9F" w:rsidRPr="009F4EEC" w:rsidRDefault="00C04C9F" w:rsidP="007C5334">
            <w:pPr>
              <w:spacing w:before="20" w:after="20"/>
              <w:rPr>
                <w:color w:val="FFFFFF"/>
                <w:sz w:val="20"/>
                <w:szCs w:val="20"/>
              </w:rPr>
            </w:pPr>
          </w:p>
        </w:tc>
      </w:tr>
      <w:tr w:rsidR="002455A1" w:rsidRPr="009F4EEC" w:rsidTr="002455A1">
        <w:trPr>
          <w:trHeight w:val="217"/>
        </w:trPr>
        <w:tc>
          <w:tcPr>
            <w:tcW w:w="10915" w:type="dxa"/>
            <w:gridSpan w:val="7"/>
            <w:tcBorders>
              <w:top w:val="single" w:sz="4" w:space="0" w:color="auto"/>
              <w:left w:val="nil"/>
              <w:bottom w:val="nil"/>
              <w:right w:val="nil"/>
            </w:tcBorders>
            <w:shd w:val="clear" w:color="auto" w:fill="auto"/>
          </w:tcPr>
          <w:p w:rsidR="002455A1" w:rsidRPr="009F4EEC" w:rsidRDefault="002455A1" w:rsidP="007C5334">
            <w:pPr>
              <w:spacing w:before="20" w:after="20"/>
              <w:rPr>
                <w:color w:val="FFFFFF"/>
                <w:sz w:val="20"/>
                <w:szCs w:val="20"/>
              </w:rPr>
            </w:pPr>
          </w:p>
        </w:tc>
      </w:tr>
      <w:tr w:rsidR="002455A1" w:rsidRPr="002455A1" w:rsidTr="002455A1">
        <w:trPr>
          <w:trHeight w:val="217"/>
        </w:trPr>
        <w:tc>
          <w:tcPr>
            <w:tcW w:w="10915" w:type="dxa"/>
            <w:gridSpan w:val="7"/>
            <w:tcBorders>
              <w:top w:val="nil"/>
              <w:left w:val="nil"/>
              <w:bottom w:val="nil"/>
              <w:right w:val="nil"/>
            </w:tcBorders>
            <w:shd w:val="clear" w:color="auto" w:fill="auto"/>
          </w:tcPr>
          <w:p w:rsidR="001B7269" w:rsidRDefault="001B7269" w:rsidP="002455A1">
            <w:pPr>
              <w:pStyle w:val="ListParagraph"/>
              <w:numPr>
                <w:ilvl w:val="0"/>
                <w:numId w:val="9"/>
              </w:numPr>
              <w:spacing w:before="20" w:after="20"/>
              <w:ind w:left="459" w:hanging="425"/>
              <w:rPr>
                <w:rFonts w:ascii="Arial" w:hAnsi="Arial" w:cs="Arial"/>
                <w:sz w:val="20"/>
                <w:szCs w:val="20"/>
              </w:rPr>
            </w:pPr>
            <w:r>
              <w:rPr>
                <w:rFonts w:ascii="Arial" w:hAnsi="Arial" w:cs="Arial"/>
                <w:sz w:val="20"/>
                <w:szCs w:val="20"/>
              </w:rPr>
              <w:t>I</w:t>
            </w:r>
            <w:r w:rsidR="002C5096">
              <w:rPr>
                <w:rFonts w:ascii="Arial" w:hAnsi="Arial" w:cs="Arial"/>
                <w:sz w:val="20"/>
                <w:szCs w:val="20"/>
              </w:rPr>
              <w:t>ndividual</w:t>
            </w:r>
            <w:r w:rsidR="00A423F0">
              <w:rPr>
                <w:rFonts w:ascii="Arial" w:hAnsi="Arial" w:cs="Arial"/>
                <w:sz w:val="20"/>
                <w:szCs w:val="20"/>
              </w:rPr>
              <w:t>(s)</w:t>
            </w:r>
            <w:r w:rsidR="002C5096">
              <w:rPr>
                <w:rFonts w:ascii="Arial" w:hAnsi="Arial" w:cs="Arial"/>
                <w:sz w:val="20"/>
                <w:szCs w:val="20"/>
              </w:rPr>
              <w:t xml:space="preserve"> who has overall responsibility for the placing of Canadian business under any Lloyd’s Binding Authorities to be granted:</w:t>
            </w:r>
          </w:p>
          <w:p w:rsidR="001B7269" w:rsidRDefault="001B7269" w:rsidP="001B7269">
            <w:pPr>
              <w:pStyle w:val="ListParagraph"/>
              <w:spacing w:before="20" w:after="20"/>
              <w:ind w:left="459"/>
              <w:rPr>
                <w:rFonts w:ascii="Arial" w:hAnsi="Arial" w:cs="Arial"/>
                <w:sz w:val="20"/>
                <w:szCs w:val="20"/>
              </w:rPr>
            </w:pPr>
          </w:p>
          <w:p w:rsidR="002455A1" w:rsidRPr="002455A1" w:rsidRDefault="001B7269" w:rsidP="001B7269">
            <w:pPr>
              <w:pStyle w:val="ListParagraph"/>
              <w:spacing w:before="20" w:after="20"/>
              <w:ind w:left="459"/>
              <w:rPr>
                <w:rFonts w:ascii="Arial" w:hAnsi="Arial" w:cs="Arial"/>
                <w:sz w:val="20"/>
                <w:szCs w:val="20"/>
              </w:rPr>
            </w:pPr>
            <w:r w:rsidRPr="001B7269">
              <w:rPr>
                <w:rFonts w:ascii="Arial" w:hAnsi="Arial" w:cs="Arial"/>
                <w:b/>
                <w:sz w:val="20"/>
                <w:szCs w:val="20"/>
              </w:rPr>
              <w:t>Name:</w:t>
            </w:r>
            <w:r>
              <w:rPr>
                <w:rFonts w:ascii="Arial" w:hAnsi="Arial" w:cs="Arial"/>
                <w:sz w:val="20"/>
                <w:szCs w:val="20"/>
              </w:rPr>
              <w:t xml:space="preserve"> </w:t>
            </w:r>
            <w:r w:rsidR="002C5096">
              <w:rPr>
                <w:rFonts w:ascii="Arial" w:hAnsi="Arial" w:cs="Arial"/>
                <w:sz w:val="20"/>
                <w:szCs w:val="20"/>
              </w:rPr>
              <w:t xml:space="preserve"> </w:t>
            </w:r>
            <w:r w:rsidR="002C5096" w:rsidRPr="009B5DA4">
              <w:rPr>
                <w:rFonts w:ascii="Arial" w:hAnsi="Arial" w:cs="Arial"/>
                <w:sz w:val="20"/>
                <w:szCs w:val="20"/>
              </w:rPr>
              <w:fldChar w:fldCharType="begin">
                <w:ffData>
                  <w:name w:val="Text14"/>
                  <w:enabled/>
                  <w:calcOnExit w:val="0"/>
                  <w:textInput/>
                </w:ffData>
              </w:fldChar>
            </w:r>
            <w:r w:rsidR="002C5096" w:rsidRPr="009B5DA4">
              <w:rPr>
                <w:rFonts w:ascii="Arial" w:hAnsi="Arial" w:cs="Arial"/>
                <w:sz w:val="20"/>
                <w:szCs w:val="20"/>
              </w:rPr>
              <w:instrText xml:space="preserve"> FORMTEXT </w:instrText>
            </w:r>
            <w:r w:rsidR="002C5096" w:rsidRPr="009B5DA4">
              <w:rPr>
                <w:rFonts w:ascii="Arial" w:hAnsi="Arial" w:cs="Arial"/>
                <w:sz w:val="20"/>
                <w:szCs w:val="20"/>
              </w:rPr>
            </w:r>
            <w:r w:rsidR="002C5096" w:rsidRPr="009B5DA4">
              <w:rPr>
                <w:rFonts w:ascii="Arial" w:hAnsi="Arial" w:cs="Arial"/>
                <w:sz w:val="20"/>
                <w:szCs w:val="20"/>
              </w:rPr>
              <w:fldChar w:fldCharType="separate"/>
            </w:r>
            <w:r w:rsidR="002C5096" w:rsidRPr="009B5DA4">
              <w:rPr>
                <w:rFonts w:ascii="Arial" w:hAnsi="Arial" w:cs="Arial"/>
                <w:noProof/>
                <w:sz w:val="20"/>
                <w:szCs w:val="20"/>
              </w:rPr>
              <w:t> </w:t>
            </w:r>
            <w:r w:rsidR="002C5096" w:rsidRPr="009B5DA4">
              <w:rPr>
                <w:rFonts w:ascii="Arial" w:hAnsi="Arial" w:cs="Arial"/>
                <w:noProof/>
                <w:sz w:val="20"/>
                <w:szCs w:val="20"/>
              </w:rPr>
              <w:t> </w:t>
            </w:r>
            <w:r w:rsidR="002C5096" w:rsidRPr="009B5DA4">
              <w:rPr>
                <w:rFonts w:ascii="Arial" w:hAnsi="Arial" w:cs="Arial"/>
                <w:noProof/>
                <w:sz w:val="20"/>
                <w:szCs w:val="20"/>
              </w:rPr>
              <w:t> </w:t>
            </w:r>
            <w:r w:rsidR="002C5096" w:rsidRPr="009B5DA4">
              <w:rPr>
                <w:rFonts w:ascii="Arial" w:hAnsi="Arial" w:cs="Arial"/>
                <w:noProof/>
                <w:sz w:val="20"/>
                <w:szCs w:val="20"/>
              </w:rPr>
              <w:t> </w:t>
            </w:r>
            <w:r w:rsidR="002C5096" w:rsidRPr="009B5DA4">
              <w:rPr>
                <w:rFonts w:ascii="Arial" w:hAnsi="Arial" w:cs="Arial"/>
                <w:noProof/>
                <w:sz w:val="20"/>
                <w:szCs w:val="20"/>
              </w:rPr>
              <w:t> </w:t>
            </w:r>
            <w:r w:rsidR="002C5096" w:rsidRPr="009B5DA4">
              <w:rPr>
                <w:rFonts w:ascii="Arial" w:hAnsi="Arial" w:cs="Arial"/>
                <w:sz w:val="20"/>
                <w:szCs w:val="20"/>
              </w:rPr>
              <w:fldChar w:fldCharType="end"/>
            </w:r>
          </w:p>
        </w:tc>
      </w:tr>
      <w:tr w:rsidR="002455A1" w:rsidRPr="009F4EEC" w:rsidTr="001B7269">
        <w:trPr>
          <w:trHeight w:val="217"/>
        </w:trPr>
        <w:tc>
          <w:tcPr>
            <w:tcW w:w="10915" w:type="dxa"/>
            <w:gridSpan w:val="7"/>
            <w:tcBorders>
              <w:top w:val="nil"/>
              <w:left w:val="nil"/>
              <w:bottom w:val="single" w:sz="4" w:space="0" w:color="auto"/>
              <w:right w:val="nil"/>
            </w:tcBorders>
            <w:shd w:val="clear" w:color="auto" w:fill="auto"/>
          </w:tcPr>
          <w:p w:rsidR="002455A1" w:rsidRPr="002455A1" w:rsidRDefault="002455A1" w:rsidP="007C5334">
            <w:pPr>
              <w:spacing w:before="20" w:after="20"/>
              <w:rPr>
                <w:sz w:val="20"/>
                <w:szCs w:val="20"/>
              </w:rPr>
            </w:pPr>
          </w:p>
        </w:tc>
      </w:tr>
      <w:tr w:rsidR="001B7269" w:rsidRPr="009F4EEC" w:rsidTr="001B7269">
        <w:trPr>
          <w:trHeight w:val="217"/>
        </w:trPr>
        <w:tc>
          <w:tcPr>
            <w:tcW w:w="10915" w:type="dxa"/>
            <w:gridSpan w:val="7"/>
            <w:tcBorders>
              <w:top w:val="single" w:sz="4" w:space="0" w:color="auto"/>
              <w:left w:val="nil"/>
              <w:bottom w:val="nil"/>
              <w:right w:val="nil"/>
            </w:tcBorders>
            <w:shd w:val="clear" w:color="auto" w:fill="auto"/>
          </w:tcPr>
          <w:p w:rsidR="001B7269" w:rsidRPr="002455A1" w:rsidRDefault="001B7269" w:rsidP="007C5334">
            <w:pPr>
              <w:spacing w:before="20" w:after="20"/>
              <w:rPr>
                <w:sz w:val="20"/>
                <w:szCs w:val="20"/>
              </w:rPr>
            </w:pPr>
          </w:p>
        </w:tc>
      </w:tr>
      <w:tr w:rsidR="001B7269" w:rsidRPr="009F4EEC" w:rsidTr="001B7269">
        <w:trPr>
          <w:trHeight w:val="217"/>
        </w:trPr>
        <w:tc>
          <w:tcPr>
            <w:tcW w:w="10915" w:type="dxa"/>
            <w:gridSpan w:val="7"/>
            <w:tcBorders>
              <w:top w:val="nil"/>
              <w:left w:val="nil"/>
              <w:bottom w:val="nil"/>
              <w:right w:val="nil"/>
            </w:tcBorders>
            <w:shd w:val="clear" w:color="auto" w:fill="auto"/>
          </w:tcPr>
          <w:p w:rsidR="001B7269" w:rsidRPr="002455A1" w:rsidRDefault="001B7269" w:rsidP="007C5334">
            <w:pPr>
              <w:spacing w:before="20" w:after="20"/>
              <w:rPr>
                <w:sz w:val="20"/>
                <w:szCs w:val="20"/>
              </w:rPr>
            </w:pPr>
          </w:p>
        </w:tc>
      </w:tr>
      <w:tr w:rsidR="001B7269" w:rsidRPr="009F4EEC" w:rsidTr="001B7269">
        <w:trPr>
          <w:trHeight w:val="217"/>
        </w:trPr>
        <w:tc>
          <w:tcPr>
            <w:tcW w:w="10915" w:type="dxa"/>
            <w:gridSpan w:val="7"/>
            <w:tcBorders>
              <w:top w:val="nil"/>
              <w:left w:val="nil"/>
              <w:bottom w:val="single" w:sz="4" w:space="0" w:color="auto"/>
              <w:right w:val="nil"/>
            </w:tcBorders>
            <w:shd w:val="clear" w:color="auto" w:fill="auto"/>
          </w:tcPr>
          <w:p w:rsidR="001B7269" w:rsidRPr="002455A1" w:rsidRDefault="001B7269" w:rsidP="007C5334">
            <w:pPr>
              <w:spacing w:before="20" w:after="20"/>
              <w:rPr>
                <w:sz w:val="20"/>
                <w:szCs w:val="20"/>
              </w:rPr>
            </w:pPr>
          </w:p>
        </w:tc>
      </w:tr>
      <w:tr w:rsidR="00485096" w:rsidRPr="00461958" w:rsidTr="00485096">
        <w:trPr>
          <w:trHeight w:val="88"/>
        </w:trPr>
        <w:tc>
          <w:tcPr>
            <w:tcW w:w="10915" w:type="dxa"/>
            <w:gridSpan w:val="7"/>
            <w:tcBorders>
              <w:top w:val="single" w:sz="4" w:space="0" w:color="auto"/>
              <w:left w:val="nil"/>
              <w:bottom w:val="nil"/>
              <w:right w:val="nil"/>
            </w:tcBorders>
            <w:shd w:val="clear" w:color="auto" w:fill="auto"/>
          </w:tcPr>
          <w:p w:rsidR="00485096" w:rsidRPr="00485096" w:rsidRDefault="003E5973" w:rsidP="00485096">
            <w:pPr>
              <w:rPr>
                <w:sz w:val="20"/>
                <w:szCs w:val="20"/>
              </w:rPr>
            </w:pPr>
            <w:r>
              <w:br w:type="page"/>
            </w:r>
          </w:p>
        </w:tc>
      </w:tr>
      <w:tr w:rsidR="00485096" w:rsidRPr="00461958" w:rsidTr="00485096">
        <w:trPr>
          <w:trHeight w:val="432"/>
        </w:trPr>
        <w:tc>
          <w:tcPr>
            <w:tcW w:w="10915" w:type="dxa"/>
            <w:gridSpan w:val="7"/>
            <w:tcBorders>
              <w:top w:val="nil"/>
              <w:left w:val="nil"/>
              <w:bottom w:val="nil"/>
              <w:right w:val="nil"/>
            </w:tcBorders>
            <w:shd w:val="clear" w:color="auto" w:fill="auto"/>
          </w:tcPr>
          <w:p w:rsidR="00485096" w:rsidRPr="00DA5354" w:rsidRDefault="00485096" w:rsidP="00B00707">
            <w:pPr>
              <w:pStyle w:val="ListParagraph"/>
              <w:numPr>
                <w:ilvl w:val="0"/>
                <w:numId w:val="9"/>
              </w:numPr>
              <w:ind w:left="459" w:hanging="425"/>
              <w:rPr>
                <w:rFonts w:ascii="Arial" w:hAnsi="Arial" w:cs="Arial"/>
                <w:sz w:val="20"/>
                <w:szCs w:val="20"/>
              </w:rPr>
            </w:pPr>
            <w:r w:rsidRPr="00DA5354">
              <w:rPr>
                <w:rFonts w:ascii="Arial" w:hAnsi="Arial" w:cs="Arial"/>
                <w:sz w:val="20"/>
                <w:szCs w:val="20"/>
              </w:rPr>
              <w:t xml:space="preserve">Claims handling will be by a </w:t>
            </w:r>
            <w:r w:rsidRPr="007104CE">
              <w:rPr>
                <w:rFonts w:ascii="Arial" w:hAnsi="Arial" w:cs="Arial"/>
                <w:b/>
                <w:sz w:val="20"/>
                <w:szCs w:val="20"/>
              </w:rPr>
              <w:t>Canadian law firm(s) or a licensed Canadian adjuster(s)</w:t>
            </w:r>
            <w:r w:rsidRPr="00DA5354">
              <w:rPr>
                <w:rFonts w:ascii="Arial" w:hAnsi="Arial" w:cs="Arial"/>
                <w:sz w:val="20"/>
                <w:szCs w:val="20"/>
              </w:rPr>
              <w:t>.</w:t>
            </w:r>
          </w:p>
        </w:tc>
      </w:tr>
      <w:tr w:rsidR="00485096" w:rsidRPr="00461958" w:rsidTr="00485096">
        <w:trPr>
          <w:trHeight w:val="228"/>
        </w:trPr>
        <w:tc>
          <w:tcPr>
            <w:tcW w:w="10915" w:type="dxa"/>
            <w:gridSpan w:val="7"/>
            <w:tcBorders>
              <w:top w:val="nil"/>
              <w:left w:val="nil"/>
              <w:bottom w:val="nil"/>
              <w:right w:val="nil"/>
            </w:tcBorders>
            <w:shd w:val="clear" w:color="auto" w:fill="auto"/>
          </w:tcPr>
          <w:p w:rsidR="00485096" w:rsidRPr="00DA5354" w:rsidRDefault="00485096" w:rsidP="00B00707">
            <w:pPr>
              <w:pStyle w:val="ListParagraph"/>
              <w:ind w:left="459"/>
              <w:rPr>
                <w:rFonts w:ascii="Arial" w:hAnsi="Arial" w:cs="Arial"/>
                <w:sz w:val="20"/>
                <w:szCs w:val="20"/>
              </w:rPr>
            </w:pPr>
            <w:r w:rsidRPr="00683467">
              <w:rPr>
                <w:rFonts w:ascii="Arial" w:hAnsi="Arial" w:cs="Arial"/>
                <w:b/>
                <w:sz w:val="20"/>
                <w:szCs w:val="20"/>
              </w:rPr>
              <w:t>Name:</w:t>
            </w:r>
            <w:r>
              <w:rPr>
                <w:rFonts w:ascii="Arial" w:hAnsi="Arial" w:cs="Arial"/>
                <w:sz w:val="20"/>
                <w:szCs w:val="20"/>
              </w:rPr>
              <w:t xml:space="preserve">  </w:t>
            </w:r>
            <w:r w:rsidRPr="009B5DA4">
              <w:rPr>
                <w:rFonts w:ascii="Arial" w:hAnsi="Arial" w:cs="Arial"/>
                <w:sz w:val="20"/>
                <w:szCs w:val="20"/>
              </w:rPr>
              <w:fldChar w:fldCharType="begin">
                <w:ffData>
                  <w:name w:val="Text14"/>
                  <w:enabled/>
                  <w:calcOnExit w:val="0"/>
                  <w:textInput/>
                </w:ffData>
              </w:fldChar>
            </w:r>
            <w:r w:rsidRPr="009B5DA4">
              <w:rPr>
                <w:rFonts w:ascii="Arial" w:hAnsi="Arial" w:cs="Arial"/>
                <w:sz w:val="20"/>
                <w:szCs w:val="20"/>
              </w:rPr>
              <w:instrText xml:space="preserve"> FORMTEXT </w:instrText>
            </w:r>
            <w:r w:rsidRPr="009B5DA4">
              <w:rPr>
                <w:rFonts w:ascii="Arial" w:hAnsi="Arial" w:cs="Arial"/>
                <w:sz w:val="20"/>
                <w:szCs w:val="20"/>
              </w:rPr>
            </w:r>
            <w:r w:rsidRPr="009B5DA4">
              <w:rPr>
                <w:rFonts w:ascii="Arial" w:hAnsi="Arial" w:cs="Arial"/>
                <w:sz w:val="20"/>
                <w:szCs w:val="20"/>
              </w:rPr>
              <w:fldChar w:fldCharType="separate"/>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noProof/>
                <w:sz w:val="20"/>
                <w:szCs w:val="20"/>
              </w:rPr>
              <w:t> </w:t>
            </w:r>
            <w:r w:rsidRPr="009B5DA4">
              <w:rPr>
                <w:rFonts w:ascii="Arial" w:hAnsi="Arial" w:cs="Arial"/>
                <w:sz w:val="20"/>
                <w:szCs w:val="20"/>
              </w:rPr>
              <w:fldChar w:fldCharType="end"/>
            </w:r>
          </w:p>
        </w:tc>
      </w:tr>
      <w:tr w:rsidR="00485096" w:rsidRPr="00461958" w:rsidTr="00485096">
        <w:trPr>
          <w:trHeight w:val="223"/>
        </w:trPr>
        <w:tc>
          <w:tcPr>
            <w:tcW w:w="10915" w:type="dxa"/>
            <w:gridSpan w:val="7"/>
            <w:tcBorders>
              <w:top w:val="nil"/>
              <w:left w:val="nil"/>
              <w:bottom w:val="single" w:sz="4" w:space="0" w:color="auto"/>
              <w:right w:val="nil"/>
            </w:tcBorders>
            <w:shd w:val="clear" w:color="auto" w:fill="auto"/>
          </w:tcPr>
          <w:p w:rsidR="00485096" w:rsidRDefault="00485096" w:rsidP="00485096">
            <w:pPr>
              <w:pStyle w:val="ListParagraph"/>
              <w:ind w:left="317"/>
              <w:rPr>
                <w:rFonts w:ascii="Arial" w:hAnsi="Arial" w:cs="Arial"/>
                <w:sz w:val="20"/>
                <w:szCs w:val="20"/>
              </w:rPr>
            </w:pPr>
          </w:p>
        </w:tc>
      </w:tr>
      <w:tr w:rsidR="00485096" w:rsidRPr="00461958" w:rsidTr="003D45F9">
        <w:trPr>
          <w:trHeight w:val="183"/>
        </w:trPr>
        <w:tc>
          <w:tcPr>
            <w:tcW w:w="10915" w:type="dxa"/>
            <w:gridSpan w:val="7"/>
            <w:tcBorders>
              <w:top w:val="single" w:sz="4" w:space="0" w:color="auto"/>
              <w:left w:val="nil"/>
              <w:bottom w:val="nil"/>
              <w:right w:val="nil"/>
            </w:tcBorders>
            <w:shd w:val="clear" w:color="auto" w:fill="auto"/>
          </w:tcPr>
          <w:p w:rsidR="00485096" w:rsidRPr="009F4EEC" w:rsidRDefault="00485096" w:rsidP="00485096">
            <w:pPr>
              <w:pStyle w:val="ListParagraph"/>
              <w:ind w:left="317"/>
              <w:rPr>
                <w:rFonts w:ascii="Arial" w:hAnsi="Arial" w:cs="Arial"/>
                <w:sz w:val="20"/>
                <w:szCs w:val="20"/>
              </w:rPr>
            </w:pPr>
          </w:p>
        </w:tc>
      </w:tr>
      <w:tr w:rsidR="003D45F9" w:rsidRPr="001B7269" w:rsidTr="003D45F9">
        <w:trPr>
          <w:trHeight w:val="183"/>
        </w:trPr>
        <w:tc>
          <w:tcPr>
            <w:tcW w:w="10915" w:type="dxa"/>
            <w:gridSpan w:val="7"/>
            <w:tcBorders>
              <w:top w:val="nil"/>
              <w:left w:val="nil"/>
              <w:bottom w:val="nil"/>
              <w:right w:val="nil"/>
            </w:tcBorders>
            <w:shd w:val="clear" w:color="auto" w:fill="auto"/>
          </w:tcPr>
          <w:p w:rsidR="00493CCD" w:rsidRDefault="00493CCD" w:rsidP="00171C79">
            <w:pPr>
              <w:rPr>
                <w:b/>
                <w:lang w:val="en"/>
              </w:rPr>
            </w:pPr>
          </w:p>
          <w:p w:rsidR="00493CCD" w:rsidRDefault="00493CCD" w:rsidP="00171C79">
            <w:pPr>
              <w:rPr>
                <w:b/>
                <w:lang w:val="en"/>
              </w:rPr>
            </w:pPr>
          </w:p>
          <w:p w:rsidR="00493CCD" w:rsidRDefault="00493CCD" w:rsidP="00171C79">
            <w:pPr>
              <w:rPr>
                <w:b/>
                <w:lang w:val="en"/>
              </w:rPr>
            </w:pPr>
          </w:p>
          <w:p w:rsidR="00171C79" w:rsidRDefault="00171C79" w:rsidP="00171C79">
            <w:pPr>
              <w:rPr>
                <w:color w:val="FF0000"/>
                <w:lang w:val="en"/>
              </w:rPr>
            </w:pPr>
            <w:r w:rsidRPr="00F1088D">
              <w:rPr>
                <w:b/>
                <w:lang w:val="en"/>
              </w:rPr>
              <w:t>For all Canadian regulated business, the AIF strongly recommends that the applicant should be licensed or there must be an appropriately licensed Canadian intermediary in the placement chain</w:t>
            </w:r>
            <w:r w:rsidR="00F1088D">
              <w:rPr>
                <w:color w:val="FF0000"/>
                <w:lang w:val="en"/>
              </w:rPr>
              <w:t xml:space="preserve">. </w:t>
            </w:r>
            <w:r w:rsidR="003D45F9" w:rsidRPr="003D45F9">
              <w:rPr>
                <w:sz w:val="20"/>
                <w:szCs w:val="20"/>
              </w:rPr>
              <w:t>Please familiarize yourself with the rules governing the application of the Canadian Excise tax</w:t>
            </w:r>
            <w:r w:rsidR="001B7269">
              <w:rPr>
                <w:sz w:val="20"/>
                <w:szCs w:val="20"/>
              </w:rPr>
              <w:t>:</w:t>
            </w:r>
            <w:r w:rsidR="003D45F9">
              <w:rPr>
                <w:sz w:val="20"/>
                <w:szCs w:val="20"/>
              </w:rPr>
              <w:t xml:space="preserve"> </w:t>
            </w:r>
            <w:hyperlink r:id="rId9" w:history="1">
              <w:r w:rsidR="001B7269" w:rsidRPr="00725F1C">
                <w:rPr>
                  <w:rStyle w:val="Hyperlink"/>
                  <w:sz w:val="20"/>
                  <w:szCs w:val="20"/>
                </w:rPr>
                <w:t>Crystal</w:t>
              </w:r>
            </w:hyperlink>
            <w:r w:rsidR="001B7269">
              <w:rPr>
                <w:rStyle w:val="Hyperlink"/>
                <w:color w:val="auto"/>
                <w:sz w:val="20"/>
                <w:szCs w:val="20"/>
                <w:u w:val="none"/>
              </w:rPr>
              <w:t>.</w:t>
            </w:r>
            <w:r>
              <w:rPr>
                <w:rStyle w:val="Hyperlink"/>
                <w:color w:val="auto"/>
                <w:sz w:val="20"/>
                <w:szCs w:val="20"/>
                <w:u w:val="none"/>
              </w:rPr>
              <w:br/>
            </w:r>
          </w:p>
          <w:p w:rsidR="003D45F9" w:rsidRPr="003D45F9" w:rsidRDefault="003D45F9" w:rsidP="001B7269">
            <w:pPr>
              <w:pStyle w:val="ListParagraph"/>
              <w:numPr>
                <w:ilvl w:val="0"/>
                <w:numId w:val="9"/>
              </w:numPr>
              <w:ind w:left="459" w:hanging="425"/>
              <w:rPr>
                <w:rFonts w:ascii="Arial" w:hAnsi="Arial" w:cs="Arial"/>
                <w:sz w:val="20"/>
                <w:szCs w:val="20"/>
              </w:rPr>
            </w:pPr>
          </w:p>
        </w:tc>
      </w:tr>
      <w:tr w:rsidR="00297DA0" w:rsidRPr="00461958" w:rsidTr="00297DA0">
        <w:trPr>
          <w:trHeight w:val="567"/>
        </w:trPr>
        <w:tc>
          <w:tcPr>
            <w:tcW w:w="10915" w:type="dxa"/>
            <w:gridSpan w:val="7"/>
            <w:tcBorders>
              <w:top w:val="nil"/>
              <w:left w:val="nil"/>
              <w:bottom w:val="nil"/>
              <w:right w:val="nil"/>
            </w:tcBorders>
            <w:shd w:val="clear" w:color="auto" w:fill="auto"/>
          </w:tcPr>
          <w:p w:rsidR="00297DA0" w:rsidRPr="009F4EEC" w:rsidRDefault="00BD0659" w:rsidP="003D45F9">
            <w:pPr>
              <w:pStyle w:val="ListParagraph"/>
              <w:ind w:left="459"/>
              <w:rPr>
                <w:rFonts w:ascii="Arial" w:hAnsi="Arial" w:cs="Arial"/>
                <w:sz w:val="20"/>
                <w:szCs w:val="20"/>
              </w:rPr>
            </w:pPr>
            <w:r>
              <w:rPr>
                <w:rFonts w:ascii="Arial" w:hAnsi="Arial" w:cs="Arial"/>
                <w:sz w:val="20"/>
                <w:szCs w:val="20"/>
              </w:rPr>
              <w:t xml:space="preserve">Should your request for </w:t>
            </w:r>
            <w:proofErr w:type="spellStart"/>
            <w:r>
              <w:rPr>
                <w:rFonts w:ascii="Arial" w:hAnsi="Arial" w:cs="Arial"/>
                <w:sz w:val="20"/>
                <w:szCs w:val="20"/>
              </w:rPr>
              <w:t>C</w:t>
            </w:r>
            <w:r w:rsidR="00297DA0" w:rsidRPr="009F4EEC">
              <w:rPr>
                <w:rFonts w:ascii="Arial" w:hAnsi="Arial" w:cs="Arial"/>
                <w:sz w:val="20"/>
                <w:szCs w:val="20"/>
              </w:rPr>
              <w:t>overholder</w:t>
            </w:r>
            <w:proofErr w:type="spellEnd"/>
            <w:r w:rsidR="00297DA0" w:rsidRPr="009F4EEC">
              <w:rPr>
                <w:rFonts w:ascii="Arial" w:hAnsi="Arial" w:cs="Arial"/>
                <w:sz w:val="20"/>
                <w:szCs w:val="20"/>
              </w:rPr>
              <w:t xml:space="preserve"> </w:t>
            </w:r>
            <w:r w:rsidR="001B7269">
              <w:rPr>
                <w:rFonts w:ascii="Arial" w:hAnsi="Arial" w:cs="Arial"/>
                <w:sz w:val="20"/>
                <w:szCs w:val="20"/>
              </w:rPr>
              <w:t xml:space="preserve">Extension </w:t>
            </w:r>
            <w:r w:rsidR="00297DA0" w:rsidRPr="009F4EEC">
              <w:rPr>
                <w:rFonts w:ascii="Arial" w:hAnsi="Arial" w:cs="Arial"/>
                <w:sz w:val="20"/>
                <w:szCs w:val="20"/>
              </w:rPr>
              <w:t>be successful, and should you intend on writing</w:t>
            </w:r>
            <w:r w:rsidR="00132F4A">
              <w:rPr>
                <w:rFonts w:ascii="Arial" w:hAnsi="Arial" w:cs="Arial"/>
                <w:sz w:val="20"/>
                <w:szCs w:val="20"/>
              </w:rPr>
              <w:t xml:space="preserve"> </w:t>
            </w:r>
            <w:r w:rsidR="0091537E">
              <w:rPr>
                <w:rFonts w:ascii="Arial" w:hAnsi="Arial" w:cs="Arial"/>
                <w:sz w:val="20"/>
                <w:szCs w:val="20"/>
              </w:rPr>
              <w:t>R</w:t>
            </w:r>
            <w:r w:rsidR="00297DA0" w:rsidRPr="009F4EEC">
              <w:rPr>
                <w:rFonts w:ascii="Arial" w:hAnsi="Arial" w:cs="Arial"/>
                <w:sz w:val="20"/>
                <w:szCs w:val="20"/>
              </w:rPr>
              <w:t>einsurance business under this authority, you will need to have completed the undertaking and you will be required to register to the Attorney In Fact (AIF) signing process. With the implementation of the OSFI regulation (Part XIII) “insurance in Canada of risks”.  It is a requirement that brokers in Canada sign an agreement to reaffirm the specific activities that they undertake on Lloyd’s behalf. This is to secure that when signed, Lloyd’s business in Canada, it will meet the definition of “insurance in Canada of risks”, and minimize any disruption for Lloyd’s and its partners in Canada.</w:t>
            </w:r>
          </w:p>
          <w:p w:rsidR="00297DA0" w:rsidRPr="009F4EEC" w:rsidRDefault="00297DA0" w:rsidP="00B00707">
            <w:pPr>
              <w:pStyle w:val="ListParagraph"/>
              <w:ind w:left="459" w:hanging="459"/>
              <w:rPr>
                <w:rFonts w:ascii="Arial" w:hAnsi="Arial" w:cs="Arial"/>
                <w:sz w:val="20"/>
                <w:szCs w:val="20"/>
              </w:rPr>
            </w:pPr>
          </w:p>
        </w:tc>
      </w:tr>
      <w:tr w:rsidR="00AD66D8" w:rsidRPr="00AD66D8" w:rsidTr="00C82AD4">
        <w:trPr>
          <w:trHeight w:val="283"/>
        </w:trPr>
        <w:tc>
          <w:tcPr>
            <w:tcW w:w="10915" w:type="dxa"/>
            <w:gridSpan w:val="7"/>
            <w:tcBorders>
              <w:top w:val="nil"/>
              <w:left w:val="nil"/>
              <w:bottom w:val="nil"/>
              <w:right w:val="nil"/>
            </w:tcBorders>
            <w:shd w:val="clear" w:color="auto" w:fill="auto"/>
          </w:tcPr>
          <w:p w:rsidR="00676B69" w:rsidRDefault="00676B69" w:rsidP="00B00707">
            <w:pPr>
              <w:pStyle w:val="ListParagraph"/>
              <w:ind w:left="459"/>
              <w:rPr>
                <w:rFonts w:ascii="Arial" w:hAnsi="Arial" w:cs="Arial"/>
                <w:b/>
                <w:sz w:val="20"/>
                <w:szCs w:val="20"/>
              </w:rPr>
            </w:pPr>
            <w:bookmarkStart w:id="10" w:name="_GoBack"/>
            <w:bookmarkEnd w:id="10"/>
          </w:p>
          <w:tbl>
            <w:tblPr>
              <w:tblW w:w="109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AD66D8" w:rsidRPr="00AD66D8" w:rsidTr="00DB732B">
              <w:trPr>
                <w:trHeight w:val="236"/>
              </w:trPr>
              <w:tc>
                <w:tcPr>
                  <w:tcW w:w="10915" w:type="dxa"/>
                  <w:tcBorders>
                    <w:top w:val="nil"/>
                    <w:left w:val="nil"/>
                    <w:bottom w:val="nil"/>
                    <w:right w:val="nil"/>
                  </w:tcBorders>
                  <w:shd w:val="clear" w:color="auto" w:fill="auto"/>
                </w:tcPr>
                <w:p w:rsidR="00AD66D8" w:rsidRPr="00AD66D8" w:rsidRDefault="00AD66D8" w:rsidP="00B00707">
                  <w:pPr>
                    <w:ind w:left="351"/>
                    <w:rPr>
                      <w:sz w:val="20"/>
                      <w:szCs w:val="20"/>
                    </w:rPr>
                  </w:pPr>
                </w:p>
                <w:p w:rsidR="00AD66D8" w:rsidRPr="00AD66D8" w:rsidRDefault="00AD66D8" w:rsidP="00B00707">
                  <w:pPr>
                    <w:pStyle w:val="ListParagraph"/>
                    <w:ind w:left="351"/>
                    <w:rPr>
                      <w:rFonts w:ascii="Arial" w:hAnsi="Arial" w:cs="Arial"/>
                      <w:sz w:val="20"/>
                      <w:szCs w:val="20"/>
                    </w:rPr>
                  </w:pPr>
                  <w:r w:rsidRPr="009F4EEC">
                    <w:rPr>
                      <w:rFonts w:ascii="Arial" w:hAnsi="Arial" w:cs="Arial"/>
                      <w:sz w:val="20"/>
                      <w:szCs w:val="20"/>
                    </w:rPr>
                    <w:t xml:space="preserve">Does your firm intend on writing </w:t>
                  </w:r>
                  <w:r>
                    <w:rPr>
                      <w:rFonts w:ascii="Arial" w:hAnsi="Arial" w:cs="Arial"/>
                      <w:sz w:val="20"/>
                      <w:szCs w:val="20"/>
                    </w:rPr>
                    <w:t xml:space="preserve">Reinsurance? </w:t>
                  </w:r>
                  <w:r w:rsidRPr="009F4EEC">
                    <w:rPr>
                      <w:rFonts w:ascii="Arial" w:hAnsi="Arial" w:cs="Arial"/>
                      <w:sz w:val="20"/>
                      <w:szCs w:val="20"/>
                    </w:rPr>
                    <w:t xml:space="preserve">  </w:t>
                  </w:r>
                  <w:r w:rsidRPr="00AB3D23">
                    <w:rPr>
                      <w:rFonts w:ascii="Arial" w:hAnsi="Arial" w:cs="Arial"/>
                      <w:b/>
                      <w:sz w:val="20"/>
                      <w:szCs w:val="20"/>
                    </w:rPr>
                    <w:t>Yes</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AB3D23">
                    <w:rPr>
                      <w:rFonts w:ascii="Arial" w:hAnsi="Arial" w:cs="Arial"/>
                      <w:sz w:val="20"/>
                      <w:szCs w:val="20"/>
                    </w:rPr>
                    <w:fldChar w:fldCharType="end"/>
                  </w:r>
                  <w:r w:rsidRPr="00AB3D23">
                    <w:rPr>
                      <w:rFonts w:ascii="Arial" w:hAnsi="Arial" w:cs="Arial"/>
                      <w:sz w:val="20"/>
                      <w:szCs w:val="20"/>
                    </w:rPr>
                    <w:t xml:space="preserve">        </w:t>
                  </w:r>
                  <w:r w:rsidRPr="00AB3D23">
                    <w:rPr>
                      <w:rFonts w:ascii="Arial" w:hAnsi="Arial" w:cs="Arial"/>
                      <w:b/>
                      <w:sz w:val="20"/>
                      <w:szCs w:val="20"/>
                    </w:rPr>
                    <w:t>No</w:t>
                  </w:r>
                  <w:r w:rsidRPr="00AB3D23">
                    <w:rPr>
                      <w:rFonts w:ascii="Arial" w:hAnsi="Arial" w:cs="Arial"/>
                      <w:sz w:val="20"/>
                      <w:szCs w:val="20"/>
                    </w:rPr>
                    <w:t xml:space="preserve"> </w:t>
                  </w:r>
                  <w:r w:rsidRPr="00AB3D23">
                    <w:rPr>
                      <w:rFonts w:ascii="Arial" w:hAnsi="Arial" w:cs="Arial"/>
                      <w:sz w:val="20"/>
                      <w:szCs w:val="20"/>
                    </w:rPr>
                    <w:fldChar w:fldCharType="begin">
                      <w:ffData>
                        <w:name w:val="Check3"/>
                        <w:enabled/>
                        <w:calcOnExit w:val="0"/>
                        <w:checkBox>
                          <w:sizeAuto/>
                          <w:default w:val="0"/>
                        </w:checkBox>
                      </w:ffData>
                    </w:fldChar>
                  </w:r>
                  <w:r w:rsidRPr="00AB3D23">
                    <w:rPr>
                      <w:rFonts w:ascii="Arial" w:hAnsi="Arial" w:cs="Arial"/>
                      <w:sz w:val="20"/>
                      <w:szCs w:val="20"/>
                    </w:rPr>
                    <w:instrText xml:space="preserve"> FORMCHECKBOX </w:instrText>
                  </w:r>
                  <w:r w:rsidR="00132F4A">
                    <w:rPr>
                      <w:rFonts w:ascii="Arial" w:hAnsi="Arial" w:cs="Arial"/>
                      <w:sz w:val="20"/>
                      <w:szCs w:val="20"/>
                    </w:rPr>
                  </w:r>
                  <w:r w:rsidR="00132F4A">
                    <w:rPr>
                      <w:rFonts w:ascii="Arial" w:hAnsi="Arial" w:cs="Arial"/>
                      <w:sz w:val="20"/>
                      <w:szCs w:val="20"/>
                    </w:rPr>
                    <w:fldChar w:fldCharType="separate"/>
                  </w:r>
                  <w:r w:rsidRPr="00AB3D23">
                    <w:rPr>
                      <w:rFonts w:ascii="Arial" w:hAnsi="Arial" w:cs="Arial"/>
                      <w:sz w:val="20"/>
                      <w:szCs w:val="20"/>
                    </w:rPr>
                    <w:fldChar w:fldCharType="end"/>
                  </w:r>
                </w:p>
              </w:tc>
            </w:tr>
            <w:tr w:rsidR="00AD66D8" w:rsidRPr="00AD66D8" w:rsidTr="00DB732B">
              <w:trPr>
                <w:trHeight w:val="283"/>
              </w:trPr>
              <w:tc>
                <w:tcPr>
                  <w:tcW w:w="10915" w:type="dxa"/>
                  <w:tcBorders>
                    <w:top w:val="nil"/>
                    <w:left w:val="nil"/>
                    <w:bottom w:val="nil"/>
                    <w:right w:val="nil"/>
                  </w:tcBorders>
                  <w:shd w:val="clear" w:color="auto" w:fill="auto"/>
                </w:tcPr>
                <w:p w:rsidR="00AD66D8" w:rsidRPr="00E04072" w:rsidRDefault="00AD66D8" w:rsidP="00E04072">
                  <w:pPr>
                    <w:pStyle w:val="ListParagraph"/>
                    <w:ind w:left="351"/>
                    <w:rPr>
                      <w:rFonts w:ascii="Arial" w:hAnsi="Arial" w:cs="Arial"/>
                      <w:b/>
                      <w:sz w:val="20"/>
                      <w:szCs w:val="20"/>
                    </w:rPr>
                  </w:pPr>
                  <w:r w:rsidRPr="00AD66D8">
                    <w:rPr>
                      <w:rFonts w:ascii="Arial" w:hAnsi="Arial" w:cs="Arial"/>
                      <w:b/>
                      <w:sz w:val="20"/>
                      <w:szCs w:val="20"/>
                    </w:rPr>
                    <w:t>If yes, please complete and attach the</w:t>
                  </w:r>
                  <w:r w:rsidR="00E04072">
                    <w:rPr>
                      <w:rFonts w:ascii="Arial" w:hAnsi="Arial" w:cs="Arial"/>
                      <w:b/>
                      <w:sz w:val="20"/>
                      <w:szCs w:val="20"/>
                    </w:rPr>
                    <w:t xml:space="preserve"> </w:t>
                  </w:r>
                  <w:hyperlink r:id="rId10" w:history="1">
                    <w:r w:rsidR="00E04072">
                      <w:rPr>
                        <w:rStyle w:val="Hyperlink"/>
                        <w:rFonts w:ascii="Arial" w:hAnsi="Arial" w:cs="Arial"/>
                        <w:b/>
                        <w:sz w:val="20"/>
                        <w:szCs w:val="20"/>
                      </w:rPr>
                      <w:t>Reinsurance Undertaking</w:t>
                    </w:r>
                  </w:hyperlink>
                  <w:r w:rsidR="00E04072">
                    <w:rPr>
                      <w:rFonts w:ascii="Arial" w:hAnsi="Arial" w:cs="Arial"/>
                      <w:b/>
                      <w:sz w:val="20"/>
                      <w:szCs w:val="20"/>
                    </w:rPr>
                    <w:t xml:space="preserve"> form.</w:t>
                  </w:r>
                </w:p>
              </w:tc>
            </w:tr>
            <w:tr w:rsidR="00AD66D8" w:rsidRPr="00AD66D8" w:rsidTr="00DB732B">
              <w:trPr>
                <w:trHeight w:val="168"/>
              </w:trPr>
              <w:tc>
                <w:tcPr>
                  <w:tcW w:w="10915" w:type="dxa"/>
                  <w:tcBorders>
                    <w:top w:val="nil"/>
                    <w:left w:val="nil"/>
                    <w:bottom w:val="nil"/>
                    <w:right w:val="nil"/>
                  </w:tcBorders>
                  <w:shd w:val="clear" w:color="auto" w:fill="auto"/>
                </w:tcPr>
                <w:p w:rsidR="00AD66D8" w:rsidRPr="00AD66D8" w:rsidRDefault="00AD66D8" w:rsidP="00B00707">
                  <w:pPr>
                    <w:pStyle w:val="ListParagraph"/>
                    <w:ind w:left="351"/>
                    <w:rPr>
                      <w:rFonts w:ascii="Arial" w:hAnsi="Arial" w:cs="Arial"/>
                      <w:b/>
                      <w:sz w:val="20"/>
                      <w:szCs w:val="20"/>
                    </w:rPr>
                  </w:pPr>
                </w:p>
              </w:tc>
            </w:tr>
            <w:tr w:rsidR="00AD66D8" w:rsidRPr="00AD66D8" w:rsidTr="00DB732B">
              <w:trPr>
                <w:trHeight w:val="283"/>
              </w:trPr>
              <w:tc>
                <w:tcPr>
                  <w:tcW w:w="10915" w:type="dxa"/>
                  <w:tcBorders>
                    <w:top w:val="nil"/>
                    <w:left w:val="nil"/>
                    <w:bottom w:val="nil"/>
                    <w:right w:val="nil"/>
                  </w:tcBorders>
                  <w:shd w:val="clear" w:color="auto" w:fill="auto"/>
                </w:tcPr>
                <w:p w:rsidR="00AD66D8" w:rsidRPr="00AD66D8" w:rsidRDefault="00AD66D8" w:rsidP="00202914">
                  <w:pPr>
                    <w:ind w:left="351"/>
                    <w:rPr>
                      <w:b/>
                      <w:sz w:val="20"/>
                      <w:szCs w:val="20"/>
                    </w:rPr>
                  </w:pPr>
                  <w:r w:rsidRPr="009F4EEC">
                    <w:rPr>
                      <w:color w:val="000000"/>
                      <w:sz w:val="20"/>
                      <w:szCs w:val="20"/>
                    </w:rPr>
                    <w:t xml:space="preserve">Post approval Lloyd’s Canada will contact you and provide you with documentation including terms and conditions for registration to the AIF signing process (ASPS). </w:t>
                  </w:r>
                  <w:r w:rsidRPr="009F4EEC">
                    <w:rPr>
                      <w:b/>
                      <w:color w:val="000000"/>
                      <w:sz w:val="20"/>
                      <w:szCs w:val="20"/>
                    </w:rPr>
                    <w:t>Note</w:t>
                  </w:r>
                  <w:r w:rsidR="00C40D6D">
                    <w:rPr>
                      <w:b/>
                      <w:color w:val="000000"/>
                      <w:sz w:val="20"/>
                      <w:szCs w:val="20"/>
                    </w:rPr>
                    <w:t>:</w:t>
                  </w:r>
                  <w:r w:rsidRPr="009F4EEC">
                    <w:rPr>
                      <w:b/>
                      <w:color w:val="000000"/>
                      <w:sz w:val="20"/>
                      <w:szCs w:val="20"/>
                    </w:rPr>
                    <w:t xml:space="preserve"> you will be unable to place </w:t>
                  </w:r>
                  <w:r w:rsidR="00202914">
                    <w:rPr>
                      <w:b/>
                      <w:color w:val="000000"/>
                      <w:sz w:val="20"/>
                      <w:szCs w:val="20"/>
                    </w:rPr>
                    <w:t xml:space="preserve">Canadian </w:t>
                  </w:r>
                  <w:r w:rsidRPr="009F4EEC">
                    <w:rPr>
                      <w:b/>
                      <w:color w:val="000000"/>
                      <w:sz w:val="20"/>
                      <w:szCs w:val="20"/>
                    </w:rPr>
                    <w:t xml:space="preserve">business until </w:t>
                  </w:r>
                  <w:r w:rsidRPr="009F4EEC">
                    <w:rPr>
                      <w:b/>
                      <w:sz w:val="20"/>
                      <w:szCs w:val="20"/>
                    </w:rPr>
                    <w:t xml:space="preserve">you have signed the terms and conditions and registered to the ASPS. </w:t>
                  </w:r>
                </w:p>
              </w:tc>
            </w:tr>
            <w:tr w:rsidR="00AD66D8" w:rsidRPr="00AD66D8" w:rsidTr="00C82AD4">
              <w:trPr>
                <w:trHeight w:val="283"/>
              </w:trPr>
              <w:tc>
                <w:tcPr>
                  <w:tcW w:w="10915" w:type="dxa"/>
                  <w:tcBorders>
                    <w:top w:val="nil"/>
                    <w:left w:val="nil"/>
                    <w:bottom w:val="nil"/>
                    <w:right w:val="nil"/>
                  </w:tcBorders>
                  <w:shd w:val="clear" w:color="auto" w:fill="auto"/>
                </w:tcPr>
                <w:p w:rsidR="00AD66D8" w:rsidRPr="009F4EEC" w:rsidRDefault="00AD66D8" w:rsidP="00B00707">
                  <w:pPr>
                    <w:ind w:left="351"/>
                    <w:rPr>
                      <w:color w:val="000000"/>
                      <w:sz w:val="20"/>
                      <w:szCs w:val="20"/>
                    </w:rPr>
                  </w:pPr>
                </w:p>
              </w:tc>
            </w:tr>
            <w:tr w:rsidR="00AD66D8" w:rsidRPr="00AD66D8" w:rsidTr="00C82AD4">
              <w:trPr>
                <w:trHeight w:val="283"/>
              </w:trPr>
              <w:tc>
                <w:tcPr>
                  <w:tcW w:w="10915" w:type="dxa"/>
                  <w:tcBorders>
                    <w:top w:val="nil"/>
                    <w:left w:val="nil"/>
                    <w:bottom w:val="nil"/>
                    <w:right w:val="nil"/>
                  </w:tcBorders>
                  <w:shd w:val="clear" w:color="auto" w:fill="auto"/>
                </w:tcPr>
                <w:p w:rsidR="00AD66D8" w:rsidRPr="00C82AD4" w:rsidRDefault="004401DE" w:rsidP="00202914">
                  <w:pPr>
                    <w:ind w:left="351"/>
                    <w:rPr>
                      <w:sz w:val="22"/>
                      <w:szCs w:val="22"/>
                    </w:rPr>
                  </w:pPr>
                  <w:r>
                    <w:rPr>
                      <w:color w:val="000000"/>
                      <w:sz w:val="20"/>
                      <w:szCs w:val="20"/>
                    </w:rPr>
                    <w:t>Post approval, f</w:t>
                  </w:r>
                  <w:r w:rsidR="00AD66D8" w:rsidRPr="009F4EEC">
                    <w:rPr>
                      <w:color w:val="000000"/>
                      <w:sz w:val="20"/>
                      <w:szCs w:val="20"/>
                    </w:rPr>
                    <w:t>or questions</w:t>
                  </w:r>
                  <w:r w:rsidR="00202914">
                    <w:rPr>
                      <w:color w:val="000000"/>
                      <w:sz w:val="20"/>
                      <w:szCs w:val="20"/>
                    </w:rPr>
                    <w:t xml:space="preserve"> on the use of </w:t>
                  </w:r>
                  <w:r w:rsidR="00AD66D8" w:rsidRPr="009F4EEC">
                    <w:rPr>
                      <w:color w:val="000000"/>
                      <w:sz w:val="20"/>
                      <w:szCs w:val="20"/>
                    </w:rPr>
                    <w:t>the ASPS</w:t>
                  </w:r>
                  <w:r w:rsidR="00202914">
                    <w:rPr>
                      <w:color w:val="000000"/>
                      <w:sz w:val="20"/>
                      <w:szCs w:val="20"/>
                    </w:rPr>
                    <w:t xml:space="preserve"> system</w:t>
                  </w:r>
                  <w:r w:rsidR="00AD66D8" w:rsidRPr="009F4EEC">
                    <w:rPr>
                      <w:color w:val="000000"/>
                      <w:sz w:val="20"/>
                      <w:szCs w:val="20"/>
                    </w:rPr>
                    <w:t xml:space="preserve">, please contact </w:t>
                  </w:r>
                  <w:hyperlink r:id="rId11" w:history="1">
                    <w:r w:rsidR="00AD66D8" w:rsidRPr="009F4EEC">
                      <w:rPr>
                        <w:rStyle w:val="Hyperlink"/>
                        <w:sz w:val="20"/>
                        <w:szCs w:val="20"/>
                      </w:rPr>
                      <w:t>canadianaif@lloyds.com</w:t>
                    </w:r>
                  </w:hyperlink>
                  <w:r w:rsidR="00AD66D8" w:rsidRPr="009F4EEC">
                    <w:rPr>
                      <w:color w:val="000000"/>
                      <w:sz w:val="20"/>
                      <w:szCs w:val="20"/>
                    </w:rPr>
                    <w:t>.</w:t>
                  </w:r>
                </w:p>
              </w:tc>
            </w:tr>
          </w:tbl>
          <w:p w:rsidR="00AD66D8" w:rsidRPr="00AD66D8" w:rsidRDefault="00AD66D8" w:rsidP="00B00707">
            <w:pPr>
              <w:pStyle w:val="ListParagraph"/>
              <w:ind w:left="459"/>
              <w:rPr>
                <w:rFonts w:ascii="Arial" w:hAnsi="Arial" w:cs="Arial"/>
                <w:b/>
                <w:sz w:val="20"/>
                <w:szCs w:val="20"/>
                <w:lang w:val="en-US"/>
              </w:rPr>
            </w:pPr>
          </w:p>
        </w:tc>
      </w:tr>
      <w:tr w:rsidR="00C82AD4" w:rsidRPr="00AD66D8" w:rsidTr="00C05FDB">
        <w:trPr>
          <w:trHeight w:val="106"/>
        </w:trPr>
        <w:tc>
          <w:tcPr>
            <w:tcW w:w="10915" w:type="dxa"/>
            <w:gridSpan w:val="7"/>
            <w:tcBorders>
              <w:top w:val="nil"/>
              <w:left w:val="nil"/>
              <w:bottom w:val="single" w:sz="4" w:space="0" w:color="auto"/>
              <w:right w:val="nil"/>
            </w:tcBorders>
            <w:shd w:val="clear" w:color="auto" w:fill="auto"/>
          </w:tcPr>
          <w:p w:rsidR="00C82AD4" w:rsidRPr="00AD66D8" w:rsidRDefault="00C82AD4" w:rsidP="00B00707">
            <w:pPr>
              <w:pStyle w:val="ListParagraph"/>
              <w:ind w:left="459"/>
              <w:rPr>
                <w:rFonts w:ascii="Arial" w:hAnsi="Arial" w:cs="Arial"/>
                <w:b/>
                <w:sz w:val="20"/>
                <w:szCs w:val="20"/>
              </w:rPr>
            </w:pPr>
          </w:p>
        </w:tc>
      </w:tr>
    </w:tbl>
    <w:p w:rsidR="00966B09" w:rsidRDefault="00966B09" w:rsidP="00966B09">
      <w:pPr>
        <w:ind w:left="284" w:hanging="284"/>
        <w:rPr>
          <w:sz w:val="20"/>
          <w:szCs w:val="20"/>
        </w:rPr>
      </w:pPr>
    </w:p>
    <w:p w:rsidR="00F06ADE" w:rsidRDefault="00F06ADE" w:rsidP="00966B09">
      <w:pPr>
        <w:ind w:left="284" w:hanging="284"/>
        <w:rPr>
          <w:sz w:val="20"/>
          <w:szCs w:val="20"/>
        </w:rPr>
      </w:pPr>
    </w:p>
    <w:p w:rsidR="000E3F33" w:rsidRDefault="000E3F33">
      <w:r>
        <w:br w:type="page"/>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1F3BC3" w:rsidRPr="001F3BC3" w:rsidTr="001F3BC3">
        <w:trPr>
          <w:trHeight w:val="238"/>
        </w:trPr>
        <w:tc>
          <w:tcPr>
            <w:tcW w:w="10915" w:type="dxa"/>
            <w:tcBorders>
              <w:top w:val="nil"/>
              <w:left w:val="nil"/>
              <w:bottom w:val="nil"/>
              <w:right w:val="nil"/>
            </w:tcBorders>
            <w:shd w:val="clear" w:color="auto" w:fill="auto"/>
            <w:vAlign w:val="center"/>
          </w:tcPr>
          <w:p w:rsidR="001F3BC3" w:rsidRPr="001F3BC3" w:rsidRDefault="001F3BC3" w:rsidP="00F224F9">
            <w:pPr>
              <w:tabs>
                <w:tab w:val="left" w:pos="4970"/>
                <w:tab w:val="left" w:pos="6480"/>
              </w:tabs>
              <w:spacing w:before="20" w:after="20"/>
              <w:rPr>
                <w:b/>
                <w:sz w:val="20"/>
                <w:szCs w:val="20"/>
              </w:rPr>
            </w:pPr>
          </w:p>
        </w:tc>
      </w:tr>
      <w:tr w:rsidR="00966B09" w:rsidRPr="00D013F5" w:rsidTr="00903E52">
        <w:trPr>
          <w:trHeight w:val="238"/>
        </w:trPr>
        <w:tc>
          <w:tcPr>
            <w:tcW w:w="10915" w:type="dxa"/>
            <w:tcBorders>
              <w:top w:val="nil"/>
              <w:left w:val="nil"/>
              <w:bottom w:val="nil"/>
              <w:right w:val="nil"/>
            </w:tcBorders>
            <w:shd w:val="clear" w:color="auto" w:fill="6EC9E0"/>
            <w:vAlign w:val="center"/>
          </w:tcPr>
          <w:p w:rsidR="00966B09" w:rsidRPr="00D013F5" w:rsidRDefault="00966B09" w:rsidP="00F224F9">
            <w:pPr>
              <w:tabs>
                <w:tab w:val="left" w:pos="4970"/>
                <w:tab w:val="left" w:pos="6480"/>
              </w:tabs>
              <w:spacing w:before="20" w:after="20"/>
              <w:rPr>
                <w:b/>
                <w:sz w:val="20"/>
              </w:rPr>
            </w:pPr>
            <w:r>
              <w:rPr>
                <w:rFonts w:ascii="Sansa Lloyds" w:hAnsi="Sansa Lloyds"/>
                <w:b/>
              </w:rPr>
              <w:t>REPORTING</w:t>
            </w:r>
          </w:p>
        </w:tc>
      </w:tr>
      <w:tr w:rsidR="00903E52" w:rsidRPr="00D013F5" w:rsidTr="00010DDD">
        <w:trPr>
          <w:trHeight w:val="238"/>
        </w:trPr>
        <w:tc>
          <w:tcPr>
            <w:tcW w:w="10915" w:type="dxa"/>
            <w:tcBorders>
              <w:top w:val="nil"/>
              <w:left w:val="nil"/>
              <w:bottom w:val="nil"/>
              <w:right w:val="nil"/>
            </w:tcBorders>
            <w:shd w:val="clear" w:color="auto" w:fill="auto"/>
            <w:vAlign w:val="center"/>
          </w:tcPr>
          <w:p w:rsidR="00903E52" w:rsidRPr="00903E52" w:rsidRDefault="00903E52" w:rsidP="00F224F9">
            <w:pPr>
              <w:tabs>
                <w:tab w:val="left" w:pos="4970"/>
                <w:tab w:val="left" w:pos="6480"/>
              </w:tabs>
              <w:spacing w:before="20" w:after="20"/>
              <w:rPr>
                <w:b/>
                <w:sz w:val="20"/>
                <w:szCs w:val="20"/>
              </w:rPr>
            </w:pPr>
          </w:p>
        </w:tc>
      </w:tr>
      <w:tr w:rsidR="00903E52" w:rsidRPr="00D013F5" w:rsidTr="00725F1C">
        <w:trPr>
          <w:trHeight w:val="238"/>
        </w:trPr>
        <w:tc>
          <w:tcPr>
            <w:tcW w:w="10915" w:type="dxa"/>
            <w:tcBorders>
              <w:top w:val="nil"/>
              <w:left w:val="nil"/>
              <w:bottom w:val="nil"/>
              <w:right w:val="nil"/>
            </w:tcBorders>
            <w:shd w:val="clear" w:color="auto" w:fill="auto"/>
            <w:vAlign w:val="center"/>
          </w:tcPr>
          <w:p w:rsidR="00903E52" w:rsidRPr="009F4EEC" w:rsidRDefault="00903E52" w:rsidP="00943443">
            <w:pPr>
              <w:pStyle w:val="NormalWeb"/>
              <w:numPr>
                <w:ilvl w:val="0"/>
                <w:numId w:val="9"/>
              </w:numPr>
              <w:spacing w:before="0" w:after="0"/>
              <w:ind w:left="459" w:hanging="425"/>
              <w:rPr>
                <w:rFonts w:ascii="Arial" w:hAnsi="Arial" w:cs="Arial"/>
                <w:sz w:val="20"/>
                <w:szCs w:val="20"/>
              </w:rPr>
            </w:pPr>
            <w:r w:rsidRPr="009F4EEC">
              <w:rPr>
                <w:rFonts w:ascii="Arial" w:hAnsi="Arial" w:cs="Arial"/>
                <w:b/>
                <w:bCs/>
                <w:sz w:val="20"/>
                <w:szCs w:val="20"/>
              </w:rPr>
              <w:t>What is Lineage?</w:t>
            </w:r>
          </w:p>
          <w:p w:rsidR="00903E52" w:rsidRDefault="00903E52" w:rsidP="00D90C29">
            <w:pPr>
              <w:pStyle w:val="NormalWeb"/>
              <w:spacing w:before="0" w:after="0"/>
              <w:ind w:left="459" w:hanging="459"/>
              <w:rPr>
                <w:rFonts w:ascii="Arial" w:hAnsi="Arial" w:cs="Arial"/>
                <w:sz w:val="20"/>
                <w:szCs w:val="20"/>
              </w:rPr>
            </w:pPr>
          </w:p>
          <w:p w:rsidR="00D90C29" w:rsidRPr="00D90C29" w:rsidRDefault="00D90C29" w:rsidP="00D90C29">
            <w:pPr>
              <w:pStyle w:val="NormalWeb"/>
              <w:spacing w:before="0" w:after="0"/>
              <w:ind w:left="459"/>
              <w:rPr>
                <w:rFonts w:ascii="Arial" w:hAnsi="Arial" w:cs="Arial"/>
                <w:sz w:val="20"/>
                <w:szCs w:val="20"/>
              </w:rPr>
            </w:pPr>
            <w:r w:rsidRPr="00D90C29">
              <w:rPr>
                <w:rFonts w:ascii="Arial" w:hAnsi="Arial" w:cs="Arial"/>
                <w:sz w:val="20"/>
                <w:szCs w:val="20"/>
              </w:rPr>
              <w:t>Lineage is a cost effective online tool used for the reporting and settlement of Canadian binding authority business. It also generates reports for regulatory reporting.</w:t>
            </w:r>
          </w:p>
          <w:p w:rsidR="00D90C29" w:rsidRDefault="00D90C29" w:rsidP="00D90C29">
            <w:pPr>
              <w:pStyle w:val="NormalWeb"/>
              <w:spacing w:before="0" w:after="0"/>
              <w:ind w:left="459"/>
              <w:rPr>
                <w:rFonts w:ascii="Arial" w:hAnsi="Arial" w:cs="Arial"/>
                <w:sz w:val="20"/>
                <w:szCs w:val="20"/>
              </w:rPr>
            </w:pPr>
          </w:p>
          <w:p w:rsidR="00D90C29" w:rsidRPr="00D90C29" w:rsidRDefault="00D90C29" w:rsidP="00D90C29">
            <w:pPr>
              <w:pStyle w:val="NormalWeb"/>
              <w:spacing w:before="0" w:after="0"/>
              <w:ind w:left="459"/>
              <w:rPr>
                <w:rFonts w:ascii="Arial" w:hAnsi="Arial" w:cs="Arial"/>
                <w:sz w:val="20"/>
                <w:szCs w:val="20"/>
              </w:rPr>
            </w:pPr>
            <w:r w:rsidRPr="00D90C29">
              <w:rPr>
                <w:rFonts w:ascii="Arial" w:hAnsi="Arial" w:cs="Arial"/>
                <w:sz w:val="20"/>
                <w:szCs w:val="20"/>
              </w:rPr>
              <w:t xml:space="preserve">Key features of Lineage are: </w:t>
            </w:r>
          </w:p>
          <w:p w:rsidR="00D90C29" w:rsidRPr="00D90C29" w:rsidRDefault="00D90C29" w:rsidP="00D90C29">
            <w:pPr>
              <w:pStyle w:val="NormalWeb"/>
              <w:spacing w:before="0" w:after="0"/>
              <w:ind w:left="459"/>
              <w:rPr>
                <w:rFonts w:ascii="Arial" w:hAnsi="Arial" w:cs="Arial"/>
                <w:sz w:val="20"/>
                <w:szCs w:val="20"/>
              </w:rPr>
            </w:pPr>
          </w:p>
          <w:p w:rsidR="00D90C29" w:rsidRPr="00D90C29" w:rsidRDefault="00D90C29" w:rsidP="00D90C29">
            <w:pPr>
              <w:pStyle w:val="NormalWeb"/>
              <w:spacing w:before="0" w:after="0"/>
              <w:ind w:left="459"/>
              <w:rPr>
                <w:rFonts w:ascii="Arial" w:hAnsi="Arial" w:cs="Arial"/>
                <w:b/>
                <w:sz w:val="20"/>
                <w:szCs w:val="20"/>
              </w:rPr>
            </w:pPr>
            <w:r>
              <w:rPr>
                <w:rFonts w:ascii="Arial" w:hAnsi="Arial" w:cs="Arial"/>
                <w:b/>
                <w:sz w:val="20"/>
                <w:szCs w:val="20"/>
              </w:rPr>
              <w:t>Accounting &amp; Settlement (A&amp;S)</w:t>
            </w:r>
          </w:p>
          <w:p w:rsidR="00D90C29" w:rsidRPr="00D90C29" w:rsidRDefault="00D90C29" w:rsidP="00D90C29">
            <w:pPr>
              <w:pStyle w:val="NormalWeb"/>
              <w:spacing w:before="0" w:after="0"/>
              <w:ind w:left="459"/>
              <w:rPr>
                <w:rFonts w:ascii="Arial" w:hAnsi="Arial" w:cs="Arial"/>
                <w:sz w:val="20"/>
                <w:szCs w:val="20"/>
              </w:rPr>
            </w:pPr>
            <w:r w:rsidRPr="00D90C29">
              <w:rPr>
                <w:rFonts w:ascii="Arial" w:hAnsi="Arial" w:cs="Arial"/>
                <w:sz w:val="20"/>
                <w:szCs w:val="20"/>
              </w:rPr>
              <w:t>As a transaction is created in Lineage it is displayed in real time to A&amp;S where it is allocated in the settlement Cash flow, in accordance with the applicable terms of trade, to the appropria</w:t>
            </w:r>
            <w:r>
              <w:rPr>
                <w:rFonts w:ascii="Arial" w:hAnsi="Arial" w:cs="Arial"/>
                <w:sz w:val="20"/>
                <w:szCs w:val="20"/>
              </w:rPr>
              <w:t>te eligible settlement parties.</w:t>
            </w:r>
          </w:p>
          <w:p w:rsidR="00D90C29" w:rsidRDefault="00D90C29" w:rsidP="00D90C29">
            <w:pPr>
              <w:pStyle w:val="NormalWeb"/>
              <w:spacing w:before="0" w:after="0"/>
              <w:ind w:left="459"/>
              <w:rPr>
                <w:rFonts w:ascii="Arial" w:hAnsi="Arial" w:cs="Arial"/>
                <w:sz w:val="20"/>
                <w:szCs w:val="20"/>
              </w:rPr>
            </w:pPr>
          </w:p>
          <w:p w:rsidR="00D90C29" w:rsidRPr="00D90C29" w:rsidRDefault="00D90C29" w:rsidP="00D90C29">
            <w:pPr>
              <w:pStyle w:val="NormalWeb"/>
              <w:spacing w:before="0" w:after="0"/>
              <w:ind w:left="459"/>
              <w:rPr>
                <w:rFonts w:ascii="Arial" w:hAnsi="Arial" w:cs="Arial"/>
                <w:b/>
                <w:sz w:val="20"/>
                <w:szCs w:val="20"/>
              </w:rPr>
            </w:pPr>
            <w:r w:rsidRPr="00D90C29">
              <w:rPr>
                <w:rFonts w:ascii="Arial" w:hAnsi="Arial" w:cs="Arial"/>
                <w:b/>
                <w:sz w:val="20"/>
                <w:szCs w:val="20"/>
              </w:rPr>
              <w:t>Report Facilities</w:t>
            </w:r>
          </w:p>
          <w:p w:rsidR="00D90C29" w:rsidRDefault="00D90C29" w:rsidP="00D90C29">
            <w:pPr>
              <w:pStyle w:val="NormalWeb"/>
              <w:spacing w:before="0" w:after="0"/>
              <w:ind w:left="459"/>
              <w:rPr>
                <w:rFonts w:ascii="Arial" w:hAnsi="Arial" w:cs="Arial"/>
                <w:sz w:val="20"/>
                <w:szCs w:val="20"/>
              </w:rPr>
            </w:pPr>
            <w:r w:rsidRPr="00D90C29">
              <w:rPr>
                <w:rFonts w:ascii="Arial" w:hAnsi="Arial" w:cs="Arial"/>
                <w:sz w:val="20"/>
                <w:szCs w:val="20"/>
              </w:rPr>
              <w:t>Report Dashboard allows users to conduct analysis on the performance of their business by extracting information and key business metrics directly from Lineage</w:t>
            </w:r>
            <w:r>
              <w:rPr>
                <w:rFonts w:ascii="Arial" w:hAnsi="Arial" w:cs="Arial"/>
                <w:sz w:val="20"/>
                <w:szCs w:val="20"/>
              </w:rPr>
              <w:t>.</w:t>
            </w:r>
          </w:p>
          <w:p w:rsidR="00D90C29" w:rsidRPr="00D90C29" w:rsidRDefault="00D90C29" w:rsidP="00D90C29">
            <w:pPr>
              <w:pStyle w:val="NormalWeb"/>
              <w:spacing w:before="0" w:after="0"/>
              <w:ind w:left="459"/>
              <w:rPr>
                <w:rFonts w:ascii="Arial" w:hAnsi="Arial" w:cs="Arial"/>
                <w:sz w:val="20"/>
                <w:szCs w:val="20"/>
              </w:rPr>
            </w:pPr>
          </w:p>
          <w:p w:rsidR="00D90C29" w:rsidRPr="00D90C29" w:rsidRDefault="00D90C29" w:rsidP="00D90C29">
            <w:pPr>
              <w:pStyle w:val="NormalWeb"/>
              <w:spacing w:before="0" w:after="0"/>
              <w:ind w:left="459"/>
              <w:rPr>
                <w:rFonts w:ascii="Arial" w:hAnsi="Arial" w:cs="Arial"/>
                <w:b/>
                <w:sz w:val="20"/>
                <w:szCs w:val="20"/>
              </w:rPr>
            </w:pPr>
            <w:r w:rsidRPr="00D90C29">
              <w:rPr>
                <w:rFonts w:ascii="Arial" w:hAnsi="Arial" w:cs="Arial"/>
                <w:b/>
                <w:sz w:val="20"/>
                <w:szCs w:val="20"/>
              </w:rPr>
              <w:t>Information Gathering Through Data Entry or Data Upload</w:t>
            </w:r>
          </w:p>
          <w:p w:rsidR="00D90C29" w:rsidRDefault="00D90C29" w:rsidP="00725F1C">
            <w:pPr>
              <w:tabs>
                <w:tab w:val="left" w:pos="4970"/>
                <w:tab w:val="left" w:pos="6480"/>
              </w:tabs>
              <w:ind w:left="459"/>
              <w:rPr>
                <w:sz w:val="20"/>
                <w:szCs w:val="20"/>
              </w:rPr>
            </w:pPr>
            <w:r w:rsidRPr="00D90C29">
              <w:rPr>
                <w:sz w:val="20"/>
                <w:szCs w:val="20"/>
              </w:rPr>
              <w:t>Allows parties with a binding authority contract entered in Lineage, to input, manage and consult their data (Organization Profile, Binding Authority, Policies and Claims) directly through Lineage, thereby improving the quality and accuracy of information.</w:t>
            </w:r>
          </w:p>
          <w:p w:rsidR="00171C79" w:rsidRDefault="00171C79" w:rsidP="00725F1C">
            <w:pPr>
              <w:tabs>
                <w:tab w:val="left" w:pos="4970"/>
                <w:tab w:val="left" w:pos="6480"/>
              </w:tabs>
              <w:ind w:left="459"/>
              <w:rPr>
                <w:sz w:val="20"/>
                <w:szCs w:val="20"/>
              </w:rPr>
            </w:pPr>
          </w:p>
          <w:p w:rsidR="00171C79" w:rsidRPr="00F1088D" w:rsidRDefault="00171C79" w:rsidP="00171C79">
            <w:pPr>
              <w:tabs>
                <w:tab w:val="left" w:pos="4970"/>
                <w:tab w:val="left" w:pos="6480"/>
              </w:tabs>
              <w:ind w:left="459"/>
              <w:rPr>
                <w:color w:val="1F497D"/>
                <w:sz w:val="18"/>
                <w:szCs w:val="18"/>
                <w:lang w:val="en"/>
              </w:rPr>
            </w:pPr>
            <w:r w:rsidRPr="00F1088D">
              <w:rPr>
                <w:b/>
                <w:sz w:val="20"/>
                <w:szCs w:val="20"/>
              </w:rPr>
              <w:t>Sanctions Screening</w:t>
            </w:r>
            <w:r>
              <w:rPr>
                <w:sz w:val="20"/>
                <w:szCs w:val="20"/>
              </w:rPr>
              <w:t xml:space="preserve">:  </w:t>
            </w:r>
            <w:r w:rsidRPr="00F1088D">
              <w:rPr>
                <w:sz w:val="18"/>
                <w:szCs w:val="18"/>
                <w:lang w:val="en"/>
              </w:rPr>
              <w:t>In order to respect OSFI’s Designated Persons and Sanctions Laws Instruction Guide, Lineage also performs a daily validation to verify whether any insurance transactions have been effected with individuals or entities identified in the following Regulations: United Nations, UK Treasury, US Terrorism and others.</w:t>
            </w:r>
          </w:p>
        </w:tc>
      </w:tr>
      <w:tr w:rsidR="00010DDD" w:rsidRPr="00D013F5" w:rsidTr="00725F1C">
        <w:trPr>
          <w:trHeight w:val="238"/>
        </w:trPr>
        <w:tc>
          <w:tcPr>
            <w:tcW w:w="10915" w:type="dxa"/>
            <w:tcBorders>
              <w:top w:val="nil"/>
              <w:left w:val="nil"/>
              <w:bottom w:val="single" w:sz="4" w:space="0" w:color="auto"/>
              <w:right w:val="nil"/>
            </w:tcBorders>
            <w:shd w:val="clear" w:color="auto" w:fill="auto"/>
            <w:vAlign w:val="center"/>
          </w:tcPr>
          <w:p w:rsidR="00725F1C" w:rsidRPr="009F4EEC" w:rsidRDefault="00725F1C" w:rsidP="00010DDD">
            <w:pPr>
              <w:pStyle w:val="NormalWeb"/>
              <w:spacing w:before="0" w:after="0"/>
              <w:rPr>
                <w:rFonts w:ascii="Arial" w:hAnsi="Arial" w:cs="Arial"/>
                <w:b/>
                <w:bCs/>
                <w:sz w:val="20"/>
                <w:szCs w:val="20"/>
              </w:rPr>
            </w:pPr>
          </w:p>
        </w:tc>
      </w:tr>
      <w:tr w:rsidR="00725F1C" w:rsidRPr="00D013F5" w:rsidTr="00725F1C">
        <w:trPr>
          <w:trHeight w:val="238"/>
        </w:trPr>
        <w:tc>
          <w:tcPr>
            <w:tcW w:w="10915" w:type="dxa"/>
            <w:tcBorders>
              <w:top w:val="single" w:sz="4" w:space="0" w:color="auto"/>
              <w:left w:val="nil"/>
              <w:bottom w:val="nil"/>
              <w:right w:val="nil"/>
            </w:tcBorders>
            <w:shd w:val="clear" w:color="auto" w:fill="auto"/>
            <w:vAlign w:val="center"/>
          </w:tcPr>
          <w:p w:rsidR="00725F1C" w:rsidRDefault="00725F1C" w:rsidP="00010DDD">
            <w:pPr>
              <w:pStyle w:val="NormalWeb"/>
              <w:spacing w:before="0" w:after="0"/>
              <w:rPr>
                <w:rFonts w:ascii="Arial" w:hAnsi="Arial" w:cs="Arial"/>
                <w:b/>
                <w:bCs/>
                <w:sz w:val="20"/>
                <w:szCs w:val="20"/>
              </w:rPr>
            </w:pPr>
          </w:p>
        </w:tc>
      </w:tr>
      <w:tr w:rsidR="00010DDD" w:rsidRPr="00010DDD" w:rsidTr="00010DDD">
        <w:trPr>
          <w:trHeight w:val="238"/>
        </w:trPr>
        <w:tc>
          <w:tcPr>
            <w:tcW w:w="10915" w:type="dxa"/>
            <w:tcBorders>
              <w:top w:val="nil"/>
              <w:left w:val="nil"/>
              <w:bottom w:val="single" w:sz="4" w:space="0" w:color="auto"/>
              <w:right w:val="nil"/>
            </w:tcBorders>
            <w:shd w:val="clear" w:color="auto" w:fill="auto"/>
            <w:vAlign w:val="center"/>
          </w:tcPr>
          <w:p w:rsidR="00071E2F" w:rsidRPr="00546703" w:rsidRDefault="00071E2F" w:rsidP="00666154">
            <w:pPr>
              <w:pStyle w:val="ListParagraph"/>
              <w:numPr>
                <w:ilvl w:val="0"/>
                <w:numId w:val="9"/>
              </w:numPr>
              <w:rPr>
                <w:rFonts w:ascii="Arial" w:hAnsi="Arial" w:cs="Arial"/>
                <w:color w:val="000000"/>
                <w:sz w:val="20"/>
                <w:szCs w:val="20"/>
              </w:rPr>
            </w:pPr>
            <w:r w:rsidRPr="00546703">
              <w:rPr>
                <w:rFonts w:ascii="Arial" w:hAnsi="Arial" w:cs="Arial"/>
                <w:color w:val="000000"/>
                <w:sz w:val="20"/>
                <w:szCs w:val="20"/>
              </w:rPr>
              <w:t xml:space="preserve">Your firm intends on writing </w:t>
            </w:r>
            <w:r w:rsidR="002E43EF">
              <w:rPr>
                <w:rFonts w:ascii="Arial" w:hAnsi="Arial" w:cs="Arial"/>
                <w:color w:val="000000"/>
                <w:sz w:val="20"/>
                <w:szCs w:val="20"/>
              </w:rPr>
              <w:t xml:space="preserve">Commercial </w:t>
            </w:r>
            <w:r w:rsidR="00015F93" w:rsidRPr="00546703">
              <w:rPr>
                <w:rFonts w:ascii="Arial" w:hAnsi="Arial" w:cs="Arial"/>
                <w:color w:val="000000"/>
                <w:sz w:val="20"/>
                <w:szCs w:val="20"/>
              </w:rPr>
              <w:t xml:space="preserve">Ontario </w:t>
            </w:r>
            <w:r w:rsidR="002E43EF">
              <w:rPr>
                <w:rFonts w:ascii="Arial" w:hAnsi="Arial" w:cs="Arial"/>
                <w:color w:val="000000"/>
                <w:sz w:val="20"/>
                <w:szCs w:val="20"/>
              </w:rPr>
              <w:t xml:space="preserve"> </w:t>
            </w:r>
            <w:proofErr w:type="spellStart"/>
            <w:r w:rsidR="002E43EF">
              <w:rPr>
                <w:rFonts w:ascii="Arial" w:hAnsi="Arial" w:cs="Arial"/>
                <w:color w:val="000000"/>
                <w:sz w:val="20"/>
                <w:szCs w:val="20"/>
              </w:rPr>
              <w:t>L</w:t>
            </w:r>
            <w:r w:rsidR="00015F93" w:rsidRPr="00546703">
              <w:rPr>
                <w:rFonts w:ascii="Arial" w:hAnsi="Arial" w:cs="Arial"/>
                <w:color w:val="000000"/>
                <w:sz w:val="20"/>
                <w:szCs w:val="20"/>
              </w:rPr>
              <w:t>liability</w:t>
            </w:r>
            <w:proofErr w:type="spellEnd"/>
            <w:r w:rsidR="00015F93" w:rsidRPr="00546703">
              <w:rPr>
                <w:rFonts w:ascii="Arial" w:hAnsi="Arial" w:cs="Arial"/>
                <w:color w:val="000000"/>
                <w:sz w:val="20"/>
                <w:szCs w:val="20"/>
              </w:rPr>
              <w:t xml:space="preserve"> or Automobile </w:t>
            </w:r>
            <w:r w:rsidRPr="00546703">
              <w:rPr>
                <w:rFonts w:ascii="Arial" w:hAnsi="Arial" w:cs="Arial"/>
                <w:color w:val="000000"/>
                <w:sz w:val="20"/>
                <w:szCs w:val="20"/>
              </w:rPr>
              <w:t xml:space="preserve">direct </w:t>
            </w:r>
            <w:r w:rsidRPr="00546703">
              <w:rPr>
                <w:rFonts w:ascii="Arial" w:hAnsi="Arial" w:cs="Arial"/>
                <w:color w:val="000000"/>
                <w:sz w:val="20"/>
                <w:szCs w:val="20"/>
                <w:u w:val="single"/>
              </w:rPr>
              <w:t>Binding Authority</w:t>
            </w:r>
            <w:r w:rsidRPr="00546703">
              <w:rPr>
                <w:rFonts w:ascii="Arial" w:hAnsi="Arial" w:cs="Arial"/>
                <w:color w:val="000000"/>
                <w:sz w:val="20"/>
                <w:szCs w:val="20"/>
              </w:rPr>
              <w:t xml:space="preserve"> business</w:t>
            </w:r>
            <w:r w:rsidR="00015F93" w:rsidRPr="00546703">
              <w:rPr>
                <w:rFonts w:ascii="Arial" w:hAnsi="Arial" w:cs="Arial"/>
                <w:color w:val="000000"/>
                <w:sz w:val="20"/>
                <w:szCs w:val="20"/>
              </w:rPr>
              <w:t xml:space="preserve"> then, </w:t>
            </w:r>
          </w:p>
          <w:p w:rsidR="00015F93" w:rsidRDefault="00071E2F" w:rsidP="00071E2F">
            <w:pPr>
              <w:ind w:left="284"/>
              <w:rPr>
                <w:color w:val="000000"/>
                <w:sz w:val="20"/>
                <w:szCs w:val="20"/>
              </w:rPr>
            </w:pPr>
            <w:proofErr w:type="gramStart"/>
            <w:r w:rsidRPr="00D322CC">
              <w:rPr>
                <w:color w:val="000000"/>
                <w:sz w:val="20"/>
                <w:szCs w:val="20"/>
              </w:rPr>
              <w:t>the</w:t>
            </w:r>
            <w:proofErr w:type="gramEnd"/>
            <w:r w:rsidRPr="00D322CC">
              <w:rPr>
                <w:color w:val="000000"/>
                <w:sz w:val="20"/>
                <w:szCs w:val="20"/>
              </w:rPr>
              <w:t xml:space="preserve"> business (premiums and claims) </w:t>
            </w:r>
            <w:r w:rsidRPr="00D84424">
              <w:rPr>
                <w:b/>
                <w:color w:val="000000"/>
                <w:sz w:val="20"/>
                <w:szCs w:val="20"/>
              </w:rPr>
              <w:t>must be reported</w:t>
            </w:r>
            <w:r w:rsidRPr="00D322CC">
              <w:rPr>
                <w:color w:val="000000"/>
                <w:sz w:val="20"/>
                <w:szCs w:val="20"/>
              </w:rPr>
              <w:t xml:space="preserve"> </w:t>
            </w:r>
            <w:r>
              <w:rPr>
                <w:color w:val="000000"/>
                <w:sz w:val="20"/>
                <w:szCs w:val="20"/>
              </w:rPr>
              <w:t xml:space="preserve">for regulatory purposes </w:t>
            </w:r>
            <w:r w:rsidRPr="00D322CC">
              <w:rPr>
                <w:color w:val="000000"/>
                <w:sz w:val="20"/>
                <w:szCs w:val="20"/>
              </w:rPr>
              <w:t xml:space="preserve">to Lloyd’s Canada through </w:t>
            </w:r>
            <w:r>
              <w:rPr>
                <w:color w:val="000000"/>
                <w:sz w:val="20"/>
                <w:szCs w:val="20"/>
              </w:rPr>
              <w:t xml:space="preserve">Lineage. </w:t>
            </w:r>
          </w:p>
          <w:p w:rsidR="00015F93" w:rsidRDefault="00015F93" w:rsidP="00071E2F">
            <w:pPr>
              <w:ind w:left="284"/>
              <w:rPr>
                <w:color w:val="000000"/>
                <w:sz w:val="20"/>
                <w:szCs w:val="20"/>
              </w:rPr>
            </w:pPr>
          </w:p>
          <w:p w:rsidR="00071E2F" w:rsidRDefault="00071E2F" w:rsidP="00071E2F">
            <w:pPr>
              <w:ind w:left="284"/>
              <w:rPr>
                <w:color w:val="000000"/>
                <w:sz w:val="20"/>
                <w:szCs w:val="20"/>
              </w:rPr>
            </w:pPr>
            <w:r>
              <w:rPr>
                <w:color w:val="000000"/>
                <w:sz w:val="20"/>
                <w:szCs w:val="20"/>
              </w:rPr>
              <w:t xml:space="preserve">(Please note that as settlement is not available to non-Canadian Coverholders, you will not be able to access the Accounting &amp; Settlement module in Lineage.)  </w:t>
            </w:r>
          </w:p>
          <w:p w:rsidR="00071E2F" w:rsidRPr="00D322CC" w:rsidRDefault="00071E2F" w:rsidP="00071E2F">
            <w:pPr>
              <w:ind w:left="284"/>
              <w:rPr>
                <w:color w:val="000000"/>
                <w:sz w:val="20"/>
                <w:szCs w:val="20"/>
              </w:rPr>
            </w:pPr>
          </w:p>
          <w:p w:rsidR="00071E2F" w:rsidRDefault="00071E2F" w:rsidP="00F1088D">
            <w:pPr>
              <w:ind w:left="284"/>
              <w:rPr>
                <w:color w:val="000000"/>
                <w:sz w:val="20"/>
                <w:szCs w:val="20"/>
              </w:rPr>
            </w:pPr>
            <w:r w:rsidRPr="00D322CC">
              <w:rPr>
                <w:color w:val="000000"/>
                <w:sz w:val="20"/>
                <w:szCs w:val="20"/>
              </w:rPr>
              <w:t xml:space="preserve">If </w:t>
            </w:r>
            <w:r w:rsidR="00015F93">
              <w:rPr>
                <w:color w:val="000000"/>
                <w:sz w:val="20"/>
                <w:szCs w:val="20"/>
              </w:rPr>
              <w:t xml:space="preserve">your firm does </w:t>
            </w:r>
            <w:r w:rsidRPr="00FD2C6A">
              <w:rPr>
                <w:b/>
                <w:color w:val="000000"/>
                <w:sz w:val="20"/>
                <w:szCs w:val="20"/>
              </w:rPr>
              <w:t>no</w:t>
            </w:r>
            <w:r w:rsidR="00015F93">
              <w:rPr>
                <w:b/>
                <w:color w:val="000000"/>
                <w:sz w:val="20"/>
                <w:szCs w:val="20"/>
              </w:rPr>
              <w:t xml:space="preserve">t intend on writing </w:t>
            </w:r>
            <w:r w:rsidR="00666154">
              <w:rPr>
                <w:b/>
                <w:color w:val="000000"/>
                <w:sz w:val="20"/>
                <w:szCs w:val="20"/>
              </w:rPr>
              <w:t xml:space="preserve">Commercial </w:t>
            </w:r>
            <w:r w:rsidR="00015F93">
              <w:rPr>
                <w:b/>
                <w:color w:val="000000"/>
                <w:sz w:val="20"/>
                <w:szCs w:val="20"/>
              </w:rPr>
              <w:t xml:space="preserve">Ontario </w:t>
            </w:r>
            <w:r w:rsidR="00666154">
              <w:rPr>
                <w:b/>
                <w:color w:val="000000"/>
                <w:sz w:val="20"/>
                <w:szCs w:val="20"/>
              </w:rPr>
              <w:t>L</w:t>
            </w:r>
            <w:r w:rsidR="00015F93">
              <w:rPr>
                <w:b/>
                <w:color w:val="000000"/>
                <w:sz w:val="20"/>
                <w:szCs w:val="20"/>
              </w:rPr>
              <w:t>iability or Automobile direct Binding Authority business, then</w:t>
            </w:r>
            <w:r w:rsidRPr="00D322CC">
              <w:rPr>
                <w:color w:val="000000"/>
                <w:sz w:val="20"/>
                <w:szCs w:val="20"/>
              </w:rPr>
              <w:t>, the business is to be reported to your Lloyd’s Broker per your arrangement</w:t>
            </w:r>
            <w:r w:rsidR="00015F93">
              <w:rPr>
                <w:color w:val="000000"/>
                <w:sz w:val="20"/>
                <w:szCs w:val="20"/>
              </w:rPr>
              <w:t xml:space="preserve"> regarding the</w:t>
            </w:r>
          </w:p>
          <w:p w:rsidR="00010DDD" w:rsidRPr="00010DDD" w:rsidRDefault="00010DDD" w:rsidP="00B00707">
            <w:pPr>
              <w:pStyle w:val="ListParagraph"/>
              <w:numPr>
                <w:ilvl w:val="0"/>
                <w:numId w:val="9"/>
              </w:numPr>
              <w:ind w:left="459" w:hanging="425"/>
              <w:rPr>
                <w:rFonts w:ascii="Arial" w:hAnsi="Arial" w:cs="Arial"/>
                <w:color w:val="000000"/>
                <w:sz w:val="20"/>
                <w:szCs w:val="20"/>
              </w:rPr>
            </w:pPr>
            <w:r w:rsidRPr="00010DDD">
              <w:rPr>
                <w:rFonts w:ascii="Arial" w:hAnsi="Arial" w:cs="Arial"/>
                <w:color w:val="000000"/>
                <w:sz w:val="20"/>
                <w:szCs w:val="20"/>
              </w:rPr>
              <w:t xml:space="preserve"> </w:t>
            </w:r>
            <w:proofErr w:type="gramStart"/>
            <w:r w:rsidRPr="00010DDD">
              <w:rPr>
                <w:rFonts w:ascii="Arial" w:hAnsi="Arial" w:cs="Arial"/>
                <w:color w:val="000000"/>
                <w:sz w:val="20"/>
                <w:szCs w:val="20"/>
              </w:rPr>
              <w:t>manner</w:t>
            </w:r>
            <w:proofErr w:type="gramEnd"/>
            <w:r w:rsidRPr="00010DDD">
              <w:rPr>
                <w:rFonts w:ascii="Arial" w:hAnsi="Arial" w:cs="Arial"/>
                <w:color w:val="000000"/>
                <w:sz w:val="20"/>
                <w:szCs w:val="20"/>
              </w:rPr>
              <w:t xml:space="preserve"> in which reporting is to be handled</w:t>
            </w:r>
            <w:r>
              <w:rPr>
                <w:rFonts w:ascii="Arial" w:hAnsi="Arial" w:cs="Arial"/>
                <w:color w:val="000000"/>
                <w:sz w:val="20"/>
                <w:szCs w:val="20"/>
              </w:rPr>
              <w:t xml:space="preserve">. </w:t>
            </w:r>
            <w:r w:rsidRPr="00010DDD">
              <w:rPr>
                <w:rFonts w:ascii="Arial" w:hAnsi="Arial" w:cs="Arial"/>
                <w:color w:val="000000"/>
                <w:sz w:val="20"/>
                <w:szCs w:val="20"/>
              </w:rPr>
              <w:t xml:space="preserve"> </w:t>
            </w:r>
          </w:p>
          <w:p w:rsidR="004401DE" w:rsidRPr="00010DDD" w:rsidRDefault="004401DE" w:rsidP="004401DE">
            <w:pPr>
              <w:ind w:left="459"/>
              <w:rPr>
                <w:color w:val="000000"/>
                <w:sz w:val="20"/>
                <w:szCs w:val="20"/>
              </w:rPr>
            </w:pPr>
          </w:p>
          <w:p w:rsidR="004401DE" w:rsidRPr="00010DDD" w:rsidRDefault="004401DE" w:rsidP="004401DE">
            <w:pPr>
              <w:ind w:left="459"/>
              <w:rPr>
                <w:color w:val="000000"/>
                <w:sz w:val="20"/>
                <w:szCs w:val="20"/>
              </w:rPr>
            </w:pPr>
            <w:r w:rsidRPr="00010DDD">
              <w:rPr>
                <w:color w:val="000000"/>
                <w:sz w:val="20"/>
                <w:szCs w:val="20"/>
              </w:rPr>
              <w:t>An individual from our office will follow up with you within two weeks to set-up the reporting facility for your office.</w:t>
            </w:r>
          </w:p>
          <w:p w:rsidR="004401DE" w:rsidRPr="00010DDD" w:rsidRDefault="004401DE" w:rsidP="004401DE">
            <w:pPr>
              <w:ind w:left="459"/>
              <w:rPr>
                <w:color w:val="000000"/>
                <w:sz w:val="20"/>
                <w:szCs w:val="20"/>
              </w:rPr>
            </w:pPr>
          </w:p>
          <w:p w:rsidR="004401DE" w:rsidRPr="00010DDD" w:rsidRDefault="004401DE" w:rsidP="004401DE">
            <w:pPr>
              <w:ind w:left="459"/>
              <w:rPr>
                <w:color w:val="000000"/>
                <w:sz w:val="20"/>
                <w:szCs w:val="20"/>
              </w:rPr>
            </w:pPr>
            <w:r w:rsidRPr="00010DDD">
              <w:rPr>
                <w:color w:val="000000"/>
                <w:sz w:val="20"/>
                <w:szCs w:val="20"/>
              </w:rPr>
              <w:t xml:space="preserve">For questions/training regarding the reporting of the above business to Lloyd’s Canada, please contact </w:t>
            </w:r>
            <w:hyperlink r:id="rId12" w:history="1">
              <w:r w:rsidRPr="00010DDD">
                <w:rPr>
                  <w:rStyle w:val="Hyperlink"/>
                  <w:sz w:val="20"/>
                  <w:szCs w:val="20"/>
                </w:rPr>
                <w:t>info@lloyds.ca</w:t>
              </w:r>
            </w:hyperlink>
            <w:r>
              <w:rPr>
                <w:color w:val="000000"/>
                <w:sz w:val="20"/>
                <w:szCs w:val="20"/>
              </w:rPr>
              <w:t>.</w:t>
            </w:r>
          </w:p>
          <w:p w:rsidR="00010DDD" w:rsidRPr="00010DDD" w:rsidRDefault="00010DDD" w:rsidP="00B00707">
            <w:pPr>
              <w:ind w:left="459"/>
              <w:rPr>
                <w:color w:val="000000"/>
                <w:sz w:val="20"/>
                <w:szCs w:val="20"/>
              </w:rPr>
            </w:pPr>
            <w:r w:rsidRPr="00010DDD">
              <w:rPr>
                <w:color w:val="000000"/>
                <w:sz w:val="20"/>
                <w:szCs w:val="20"/>
              </w:rPr>
              <w:t xml:space="preserve">     </w:t>
            </w:r>
          </w:p>
          <w:p w:rsidR="00010DDD" w:rsidRPr="00010DDD" w:rsidRDefault="00010DDD" w:rsidP="00B00707">
            <w:pPr>
              <w:ind w:left="459"/>
              <w:rPr>
                <w:color w:val="000000"/>
                <w:sz w:val="20"/>
                <w:szCs w:val="20"/>
              </w:rPr>
            </w:pPr>
          </w:p>
          <w:p w:rsidR="00010DDD" w:rsidRPr="00010DDD" w:rsidRDefault="00010DDD" w:rsidP="00B00707">
            <w:pPr>
              <w:ind w:left="459"/>
              <w:rPr>
                <w:color w:val="000000"/>
                <w:sz w:val="20"/>
                <w:szCs w:val="20"/>
              </w:rPr>
            </w:pPr>
            <w:r w:rsidRPr="00010DDD">
              <w:rPr>
                <w:color w:val="000000"/>
                <w:sz w:val="20"/>
                <w:szCs w:val="20"/>
              </w:rPr>
              <w:tab/>
            </w:r>
            <w:r w:rsidRPr="00010DDD">
              <w:rPr>
                <w:color w:val="000000"/>
                <w:sz w:val="20"/>
                <w:szCs w:val="20"/>
              </w:rPr>
              <w:tab/>
            </w:r>
            <w:r w:rsidRPr="00010DDD">
              <w:rPr>
                <w:color w:val="000000"/>
                <w:sz w:val="20"/>
                <w:szCs w:val="20"/>
              </w:rPr>
              <w:tab/>
            </w:r>
            <w:r w:rsidRPr="00010DDD">
              <w:rPr>
                <w:color w:val="000000"/>
                <w:sz w:val="20"/>
                <w:szCs w:val="20"/>
              </w:rPr>
              <w:tab/>
            </w:r>
            <w:r w:rsidRPr="00010DDD">
              <w:rPr>
                <w:color w:val="000000"/>
                <w:sz w:val="20"/>
                <w:szCs w:val="20"/>
              </w:rPr>
              <w:tab/>
            </w:r>
            <w:r w:rsidRPr="00010DDD">
              <w:rPr>
                <w:color w:val="000000"/>
                <w:sz w:val="20"/>
                <w:szCs w:val="20"/>
              </w:rPr>
              <w:tab/>
            </w:r>
          </w:p>
          <w:p w:rsidR="00010DDD" w:rsidRPr="00010DDD" w:rsidRDefault="00010DDD" w:rsidP="00B00707">
            <w:pPr>
              <w:ind w:left="459"/>
              <w:rPr>
                <w:color w:val="000000"/>
                <w:sz w:val="20"/>
                <w:szCs w:val="20"/>
              </w:rPr>
            </w:pPr>
            <w:r w:rsidRPr="00010DDD">
              <w:rPr>
                <w:color w:val="000000"/>
                <w:sz w:val="20"/>
                <w:szCs w:val="20"/>
              </w:rPr>
              <w:tab/>
            </w:r>
          </w:p>
          <w:p w:rsidR="00010DDD" w:rsidRPr="00D90C29" w:rsidRDefault="00D90C29" w:rsidP="00D90C29">
            <w:pPr>
              <w:ind w:left="459"/>
              <w:rPr>
                <w:color w:val="000000"/>
                <w:sz w:val="20"/>
                <w:szCs w:val="20"/>
              </w:rPr>
            </w:pPr>
            <w:r>
              <w:rPr>
                <w:color w:val="000000"/>
                <w:sz w:val="20"/>
                <w:szCs w:val="20"/>
              </w:rPr>
              <w:t>     </w:t>
            </w:r>
          </w:p>
        </w:tc>
      </w:tr>
    </w:tbl>
    <w:p w:rsidR="00966B09" w:rsidRPr="00426451" w:rsidRDefault="00966B09" w:rsidP="00966B09">
      <w:pPr>
        <w:ind w:left="284"/>
        <w:rPr>
          <w:sz w:val="22"/>
          <w:szCs w:val="22"/>
        </w:rPr>
      </w:pPr>
    </w:p>
    <w:p w:rsidR="000E3F33" w:rsidRDefault="000E3F33"/>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1F3BC3" w:rsidRPr="001F3BC3" w:rsidTr="001F3BC3">
        <w:trPr>
          <w:trHeight w:val="241"/>
        </w:trPr>
        <w:tc>
          <w:tcPr>
            <w:tcW w:w="10915" w:type="dxa"/>
            <w:tcBorders>
              <w:top w:val="nil"/>
              <w:left w:val="nil"/>
              <w:bottom w:val="nil"/>
              <w:right w:val="nil"/>
            </w:tcBorders>
            <w:shd w:val="clear" w:color="auto" w:fill="auto"/>
            <w:vAlign w:val="center"/>
          </w:tcPr>
          <w:p w:rsidR="001F3BC3" w:rsidRPr="001F3BC3" w:rsidRDefault="001F3BC3" w:rsidP="00903E52">
            <w:pPr>
              <w:tabs>
                <w:tab w:val="left" w:pos="4970"/>
                <w:tab w:val="left" w:pos="6480"/>
              </w:tabs>
              <w:spacing w:before="20" w:after="20"/>
              <w:rPr>
                <w:b/>
                <w:sz w:val="20"/>
                <w:szCs w:val="20"/>
              </w:rPr>
            </w:pPr>
          </w:p>
        </w:tc>
      </w:tr>
      <w:tr w:rsidR="00966B09" w:rsidRPr="00D013F5" w:rsidTr="00903E52">
        <w:trPr>
          <w:trHeight w:val="241"/>
        </w:trPr>
        <w:tc>
          <w:tcPr>
            <w:tcW w:w="10915" w:type="dxa"/>
            <w:tcBorders>
              <w:top w:val="nil"/>
              <w:left w:val="nil"/>
              <w:bottom w:val="nil"/>
              <w:right w:val="nil"/>
            </w:tcBorders>
            <w:shd w:val="clear" w:color="auto" w:fill="6EC9E0"/>
            <w:vAlign w:val="center"/>
          </w:tcPr>
          <w:p w:rsidR="00966B09" w:rsidRPr="00D013F5" w:rsidRDefault="00966B09" w:rsidP="00903E52">
            <w:pPr>
              <w:tabs>
                <w:tab w:val="left" w:pos="4970"/>
                <w:tab w:val="left" w:pos="6480"/>
              </w:tabs>
              <w:spacing w:before="20" w:after="20"/>
              <w:rPr>
                <w:b/>
                <w:sz w:val="20"/>
              </w:rPr>
            </w:pPr>
            <w:r>
              <w:rPr>
                <w:rFonts w:ascii="Sansa Lloyds" w:hAnsi="Sansa Lloyds"/>
                <w:b/>
              </w:rPr>
              <w:t>COMPLIANCE</w:t>
            </w:r>
          </w:p>
        </w:tc>
      </w:tr>
      <w:tr w:rsidR="00B00707" w:rsidRPr="00D013F5" w:rsidTr="00B00707">
        <w:trPr>
          <w:trHeight w:val="241"/>
        </w:trPr>
        <w:tc>
          <w:tcPr>
            <w:tcW w:w="10915" w:type="dxa"/>
            <w:tcBorders>
              <w:top w:val="nil"/>
              <w:left w:val="nil"/>
              <w:bottom w:val="nil"/>
              <w:right w:val="nil"/>
            </w:tcBorders>
            <w:shd w:val="clear" w:color="auto" w:fill="auto"/>
            <w:vAlign w:val="center"/>
          </w:tcPr>
          <w:p w:rsidR="00B00707" w:rsidRPr="00B00707" w:rsidRDefault="00B00707" w:rsidP="00903E52">
            <w:pPr>
              <w:tabs>
                <w:tab w:val="left" w:pos="4970"/>
                <w:tab w:val="left" w:pos="6480"/>
              </w:tabs>
              <w:spacing w:before="20" w:after="20"/>
              <w:rPr>
                <w:b/>
                <w:sz w:val="20"/>
                <w:szCs w:val="20"/>
              </w:rPr>
            </w:pPr>
          </w:p>
        </w:tc>
      </w:tr>
      <w:tr w:rsidR="00B00707" w:rsidRPr="00D013F5" w:rsidTr="00B00707">
        <w:trPr>
          <w:trHeight w:val="241"/>
        </w:trPr>
        <w:tc>
          <w:tcPr>
            <w:tcW w:w="10915" w:type="dxa"/>
            <w:tcBorders>
              <w:top w:val="nil"/>
              <w:left w:val="nil"/>
              <w:bottom w:val="nil"/>
              <w:right w:val="nil"/>
            </w:tcBorders>
            <w:shd w:val="clear" w:color="auto" w:fill="auto"/>
            <w:vAlign w:val="center"/>
          </w:tcPr>
          <w:p w:rsidR="00B00707" w:rsidRPr="00B00707" w:rsidRDefault="00B00707" w:rsidP="00903E52">
            <w:pPr>
              <w:tabs>
                <w:tab w:val="left" w:pos="4970"/>
                <w:tab w:val="left" w:pos="6480"/>
              </w:tabs>
              <w:spacing w:before="20" w:after="20"/>
              <w:rPr>
                <w:b/>
                <w:sz w:val="20"/>
                <w:szCs w:val="20"/>
              </w:rPr>
            </w:pPr>
            <w:r w:rsidRPr="009F4EEC">
              <w:rPr>
                <w:b/>
                <w:color w:val="000000"/>
                <w:sz w:val="20"/>
                <w:szCs w:val="20"/>
              </w:rPr>
              <w:t xml:space="preserve">Once you are granted </w:t>
            </w:r>
            <w:proofErr w:type="spellStart"/>
            <w:r w:rsidRPr="009F4EEC">
              <w:rPr>
                <w:b/>
                <w:color w:val="000000"/>
                <w:sz w:val="20"/>
                <w:szCs w:val="20"/>
              </w:rPr>
              <w:t>Coverholder</w:t>
            </w:r>
            <w:proofErr w:type="spellEnd"/>
            <w:r w:rsidRPr="009F4EEC">
              <w:rPr>
                <w:b/>
                <w:color w:val="000000"/>
                <w:sz w:val="20"/>
                <w:szCs w:val="20"/>
              </w:rPr>
              <w:t xml:space="preserve"> </w:t>
            </w:r>
            <w:r w:rsidR="004422E5">
              <w:rPr>
                <w:b/>
                <w:color w:val="000000"/>
                <w:sz w:val="20"/>
                <w:szCs w:val="20"/>
              </w:rPr>
              <w:t xml:space="preserve">Extension </w:t>
            </w:r>
            <w:r w:rsidRPr="009F4EEC">
              <w:rPr>
                <w:b/>
                <w:color w:val="000000"/>
                <w:sz w:val="20"/>
                <w:szCs w:val="20"/>
              </w:rPr>
              <w:t>status, you are required to comply with the following:</w:t>
            </w:r>
          </w:p>
        </w:tc>
      </w:tr>
      <w:tr w:rsidR="00B00707" w:rsidRPr="00D013F5" w:rsidTr="00B00707">
        <w:trPr>
          <w:trHeight w:val="241"/>
        </w:trPr>
        <w:tc>
          <w:tcPr>
            <w:tcW w:w="10915" w:type="dxa"/>
            <w:tcBorders>
              <w:top w:val="nil"/>
              <w:left w:val="nil"/>
              <w:bottom w:val="nil"/>
              <w:right w:val="nil"/>
            </w:tcBorders>
            <w:shd w:val="clear" w:color="auto" w:fill="auto"/>
            <w:vAlign w:val="center"/>
          </w:tcPr>
          <w:p w:rsidR="00B00707" w:rsidRPr="00B00707" w:rsidRDefault="00B00707" w:rsidP="00903E52">
            <w:pPr>
              <w:tabs>
                <w:tab w:val="left" w:pos="4970"/>
                <w:tab w:val="left" w:pos="6480"/>
              </w:tabs>
              <w:spacing w:before="20" w:after="20"/>
              <w:rPr>
                <w:b/>
                <w:sz w:val="20"/>
                <w:szCs w:val="20"/>
              </w:rPr>
            </w:pPr>
          </w:p>
        </w:tc>
      </w:tr>
      <w:tr w:rsidR="00B00707" w:rsidRPr="00D013F5" w:rsidTr="00B00707">
        <w:trPr>
          <w:trHeight w:val="241"/>
        </w:trPr>
        <w:tc>
          <w:tcPr>
            <w:tcW w:w="10915" w:type="dxa"/>
            <w:tcBorders>
              <w:top w:val="nil"/>
              <w:left w:val="nil"/>
              <w:bottom w:val="single" w:sz="4" w:space="0" w:color="auto"/>
              <w:right w:val="nil"/>
            </w:tcBorders>
            <w:shd w:val="clear" w:color="auto" w:fill="auto"/>
            <w:vAlign w:val="center"/>
          </w:tcPr>
          <w:p w:rsidR="00B00707" w:rsidRPr="009F4EEC" w:rsidRDefault="00B00707" w:rsidP="00B00707">
            <w:pPr>
              <w:pStyle w:val="ListParagraph"/>
              <w:numPr>
                <w:ilvl w:val="0"/>
                <w:numId w:val="9"/>
              </w:numPr>
              <w:ind w:left="459" w:hanging="425"/>
              <w:rPr>
                <w:rFonts w:ascii="Arial" w:hAnsi="Arial" w:cs="Arial"/>
                <w:b/>
                <w:color w:val="000000"/>
                <w:sz w:val="20"/>
                <w:szCs w:val="20"/>
              </w:rPr>
            </w:pPr>
            <w:r w:rsidRPr="009F4EEC">
              <w:rPr>
                <w:rFonts w:ascii="Arial" w:hAnsi="Arial" w:cs="Arial"/>
                <w:sz w:val="20"/>
                <w:szCs w:val="20"/>
              </w:rPr>
              <w:t>Policy wordings to be use</w:t>
            </w:r>
            <w:r w:rsidR="00BD0659">
              <w:rPr>
                <w:rFonts w:ascii="Arial" w:hAnsi="Arial" w:cs="Arial"/>
                <w:sz w:val="20"/>
                <w:szCs w:val="20"/>
              </w:rPr>
              <w:t>d have been agreed by contract U</w:t>
            </w:r>
            <w:r w:rsidRPr="009F4EEC">
              <w:rPr>
                <w:rFonts w:ascii="Arial" w:hAnsi="Arial" w:cs="Arial"/>
                <w:sz w:val="20"/>
                <w:szCs w:val="20"/>
              </w:rPr>
              <w:t xml:space="preserve">nderwriters and comply with Canadian legal requirements. </w:t>
            </w:r>
          </w:p>
          <w:p w:rsidR="00B00707" w:rsidRPr="00B00707" w:rsidRDefault="00B00707" w:rsidP="00903E52">
            <w:pPr>
              <w:tabs>
                <w:tab w:val="left" w:pos="4970"/>
                <w:tab w:val="left" w:pos="6480"/>
              </w:tabs>
              <w:spacing w:before="20" w:after="20"/>
              <w:rPr>
                <w:b/>
                <w:sz w:val="20"/>
                <w:szCs w:val="20"/>
                <w:lang w:val="en-CA"/>
              </w:rPr>
            </w:pPr>
          </w:p>
        </w:tc>
      </w:tr>
      <w:tr w:rsidR="00B00707" w:rsidRPr="00D013F5" w:rsidTr="00B00707">
        <w:trPr>
          <w:trHeight w:val="241"/>
        </w:trPr>
        <w:tc>
          <w:tcPr>
            <w:tcW w:w="10915" w:type="dxa"/>
            <w:tcBorders>
              <w:top w:val="single" w:sz="4" w:space="0" w:color="auto"/>
              <w:left w:val="nil"/>
              <w:bottom w:val="nil"/>
              <w:right w:val="nil"/>
            </w:tcBorders>
            <w:shd w:val="clear" w:color="auto" w:fill="auto"/>
            <w:vAlign w:val="center"/>
          </w:tcPr>
          <w:p w:rsidR="00B00707" w:rsidRPr="00B00707" w:rsidRDefault="00B00707" w:rsidP="00B00707">
            <w:pPr>
              <w:rPr>
                <w:sz w:val="20"/>
                <w:szCs w:val="20"/>
              </w:rPr>
            </w:pPr>
          </w:p>
        </w:tc>
      </w:tr>
      <w:tr w:rsidR="00B00707" w:rsidRPr="00D013F5" w:rsidTr="00725F1C">
        <w:trPr>
          <w:trHeight w:val="241"/>
        </w:trPr>
        <w:tc>
          <w:tcPr>
            <w:tcW w:w="10915" w:type="dxa"/>
            <w:tcBorders>
              <w:top w:val="nil"/>
              <w:left w:val="nil"/>
              <w:bottom w:val="single" w:sz="4" w:space="0" w:color="auto"/>
              <w:right w:val="nil"/>
            </w:tcBorders>
            <w:shd w:val="clear" w:color="auto" w:fill="auto"/>
            <w:vAlign w:val="center"/>
          </w:tcPr>
          <w:p w:rsidR="00B00707" w:rsidRDefault="00B00707" w:rsidP="00B00707">
            <w:pPr>
              <w:pStyle w:val="ListParagraph"/>
              <w:numPr>
                <w:ilvl w:val="0"/>
                <w:numId w:val="9"/>
              </w:numPr>
              <w:ind w:left="459" w:hanging="425"/>
              <w:rPr>
                <w:rFonts w:ascii="Arial" w:hAnsi="Arial" w:cs="Arial"/>
                <w:sz w:val="20"/>
                <w:szCs w:val="20"/>
              </w:rPr>
            </w:pPr>
            <w:r w:rsidRPr="009F4EEC">
              <w:rPr>
                <w:rFonts w:ascii="Arial" w:hAnsi="Arial" w:cs="Arial"/>
                <w:sz w:val="20"/>
                <w:szCs w:val="20"/>
              </w:rPr>
              <w:t>Where business is written 100% Lloyd's, the framework of L</w:t>
            </w:r>
            <w:r w:rsidR="004422E5">
              <w:rPr>
                <w:rFonts w:ascii="Arial" w:hAnsi="Arial" w:cs="Arial"/>
                <w:sz w:val="20"/>
                <w:szCs w:val="20"/>
              </w:rPr>
              <w:t>loyd's declarations page LSW1549</w:t>
            </w:r>
            <w:r w:rsidRPr="009F4EEC">
              <w:rPr>
                <w:rFonts w:ascii="Arial" w:hAnsi="Arial" w:cs="Arial"/>
                <w:sz w:val="20"/>
                <w:szCs w:val="20"/>
              </w:rPr>
              <w:t>B will b</w:t>
            </w:r>
            <w:r w:rsidR="00BD0659">
              <w:rPr>
                <w:rFonts w:ascii="Arial" w:hAnsi="Arial" w:cs="Arial"/>
                <w:sz w:val="20"/>
                <w:szCs w:val="20"/>
              </w:rPr>
              <w:t>e used. (Refer to your Lloyd’s B</w:t>
            </w:r>
            <w:r w:rsidR="004422E5">
              <w:rPr>
                <w:rFonts w:ascii="Arial" w:hAnsi="Arial" w:cs="Arial"/>
                <w:sz w:val="20"/>
                <w:szCs w:val="20"/>
              </w:rPr>
              <w:t>roker for a copy of LSW1549</w:t>
            </w:r>
            <w:r w:rsidRPr="009F4EEC">
              <w:rPr>
                <w:rFonts w:ascii="Arial" w:hAnsi="Arial" w:cs="Arial"/>
                <w:sz w:val="20"/>
                <w:szCs w:val="20"/>
              </w:rPr>
              <w:t>B)</w:t>
            </w:r>
            <w:r w:rsidRPr="009F4EEC">
              <w:rPr>
                <w:rFonts w:ascii="Arial" w:hAnsi="Arial" w:cs="Arial"/>
                <w:sz w:val="20"/>
                <w:szCs w:val="20"/>
              </w:rPr>
              <w:tab/>
            </w:r>
          </w:p>
          <w:p w:rsidR="00B00707" w:rsidRPr="00B00707" w:rsidRDefault="00B00707" w:rsidP="00B00707">
            <w:pPr>
              <w:rPr>
                <w:sz w:val="20"/>
                <w:szCs w:val="20"/>
              </w:rPr>
            </w:pPr>
          </w:p>
        </w:tc>
      </w:tr>
      <w:tr w:rsidR="00725F1C" w:rsidRPr="00D013F5" w:rsidTr="00725F1C">
        <w:trPr>
          <w:trHeight w:val="241"/>
        </w:trPr>
        <w:tc>
          <w:tcPr>
            <w:tcW w:w="10915" w:type="dxa"/>
            <w:tcBorders>
              <w:top w:val="single" w:sz="4" w:space="0" w:color="auto"/>
              <w:left w:val="nil"/>
              <w:bottom w:val="nil"/>
              <w:right w:val="nil"/>
            </w:tcBorders>
            <w:shd w:val="clear" w:color="auto" w:fill="auto"/>
            <w:vAlign w:val="center"/>
          </w:tcPr>
          <w:p w:rsidR="00725F1C" w:rsidRPr="009F4EEC" w:rsidRDefault="00725F1C" w:rsidP="00725F1C">
            <w:pPr>
              <w:pStyle w:val="ListParagraph"/>
              <w:ind w:left="459"/>
              <w:rPr>
                <w:rFonts w:ascii="Arial" w:hAnsi="Arial" w:cs="Arial"/>
                <w:sz w:val="20"/>
                <w:szCs w:val="20"/>
              </w:rPr>
            </w:pPr>
          </w:p>
        </w:tc>
      </w:tr>
      <w:tr w:rsidR="00725F1C" w:rsidRPr="00D013F5" w:rsidTr="00725F1C">
        <w:trPr>
          <w:trHeight w:val="241"/>
        </w:trPr>
        <w:tc>
          <w:tcPr>
            <w:tcW w:w="10915" w:type="dxa"/>
            <w:tcBorders>
              <w:top w:val="nil"/>
              <w:left w:val="nil"/>
              <w:bottom w:val="nil"/>
              <w:right w:val="nil"/>
            </w:tcBorders>
            <w:shd w:val="clear" w:color="auto" w:fill="auto"/>
            <w:vAlign w:val="center"/>
          </w:tcPr>
          <w:p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t>Duplicate copies of policy and claims files will be held in Canada</w:t>
            </w:r>
            <w:r w:rsidR="004422E5">
              <w:rPr>
                <w:rFonts w:ascii="Arial" w:hAnsi="Arial" w:cs="Arial"/>
                <w:sz w:val="20"/>
                <w:szCs w:val="20"/>
              </w:rPr>
              <w:t>.</w:t>
            </w:r>
          </w:p>
        </w:tc>
      </w:tr>
      <w:tr w:rsidR="00725F1C" w:rsidRPr="00D013F5" w:rsidTr="004422E5">
        <w:trPr>
          <w:trHeight w:val="241"/>
        </w:trPr>
        <w:tc>
          <w:tcPr>
            <w:tcW w:w="10915" w:type="dxa"/>
            <w:tcBorders>
              <w:top w:val="nil"/>
              <w:left w:val="nil"/>
              <w:bottom w:val="single" w:sz="4" w:space="0" w:color="auto"/>
              <w:right w:val="nil"/>
            </w:tcBorders>
            <w:shd w:val="clear" w:color="auto" w:fill="auto"/>
            <w:vAlign w:val="center"/>
          </w:tcPr>
          <w:p w:rsidR="00725F1C" w:rsidRPr="009F4EEC" w:rsidRDefault="00725F1C" w:rsidP="00725F1C">
            <w:pPr>
              <w:pStyle w:val="ListParagraph"/>
              <w:ind w:left="459"/>
              <w:rPr>
                <w:rFonts w:ascii="Arial" w:hAnsi="Arial" w:cs="Arial"/>
                <w:sz w:val="20"/>
                <w:szCs w:val="20"/>
              </w:rPr>
            </w:pPr>
          </w:p>
        </w:tc>
      </w:tr>
      <w:tr w:rsidR="00725F1C" w:rsidRPr="00D013F5" w:rsidTr="00725F1C">
        <w:trPr>
          <w:trHeight w:val="241"/>
        </w:trPr>
        <w:tc>
          <w:tcPr>
            <w:tcW w:w="10915" w:type="dxa"/>
            <w:tcBorders>
              <w:top w:val="single" w:sz="4" w:space="0" w:color="auto"/>
              <w:left w:val="nil"/>
              <w:bottom w:val="nil"/>
              <w:right w:val="nil"/>
            </w:tcBorders>
            <w:shd w:val="clear" w:color="auto" w:fill="auto"/>
            <w:vAlign w:val="center"/>
          </w:tcPr>
          <w:p w:rsidR="00725F1C" w:rsidRPr="009F4EEC" w:rsidRDefault="00725F1C" w:rsidP="00725F1C">
            <w:pPr>
              <w:pStyle w:val="ListParagraph"/>
              <w:ind w:left="459"/>
              <w:rPr>
                <w:rFonts w:ascii="Arial" w:hAnsi="Arial" w:cs="Arial"/>
                <w:sz w:val="20"/>
                <w:szCs w:val="20"/>
              </w:rPr>
            </w:pPr>
          </w:p>
        </w:tc>
      </w:tr>
      <w:tr w:rsidR="00725F1C" w:rsidRPr="00D013F5" w:rsidTr="00725F1C">
        <w:trPr>
          <w:trHeight w:val="241"/>
        </w:trPr>
        <w:tc>
          <w:tcPr>
            <w:tcW w:w="10915" w:type="dxa"/>
            <w:tcBorders>
              <w:top w:val="nil"/>
              <w:left w:val="nil"/>
              <w:bottom w:val="nil"/>
              <w:right w:val="nil"/>
            </w:tcBorders>
            <w:shd w:val="clear" w:color="auto" w:fill="auto"/>
            <w:vAlign w:val="center"/>
          </w:tcPr>
          <w:p w:rsidR="00725F1C" w:rsidRPr="009F4EEC" w:rsidRDefault="00725F1C" w:rsidP="004422E5">
            <w:pPr>
              <w:pStyle w:val="ListParagraph"/>
              <w:numPr>
                <w:ilvl w:val="0"/>
                <w:numId w:val="9"/>
              </w:numPr>
              <w:ind w:left="459" w:hanging="425"/>
              <w:rPr>
                <w:rFonts w:ascii="Arial" w:hAnsi="Arial" w:cs="Arial"/>
                <w:sz w:val="20"/>
                <w:szCs w:val="20"/>
              </w:rPr>
            </w:pPr>
            <w:r>
              <w:rPr>
                <w:rFonts w:ascii="Arial" w:hAnsi="Arial" w:cs="Arial"/>
                <w:sz w:val="20"/>
                <w:szCs w:val="20"/>
              </w:rPr>
              <w:t>Unless otherwise stated in the Binding Authority Agreement, Lloyd’s related insurance monies received should be immediately deposited into a bank account which is separate from the operating funds of your firm.</w:t>
            </w:r>
          </w:p>
        </w:tc>
      </w:tr>
      <w:tr w:rsidR="00725F1C" w:rsidRPr="00D013F5" w:rsidTr="00725F1C">
        <w:trPr>
          <w:trHeight w:val="241"/>
        </w:trPr>
        <w:tc>
          <w:tcPr>
            <w:tcW w:w="10915" w:type="dxa"/>
            <w:tcBorders>
              <w:top w:val="nil"/>
              <w:left w:val="nil"/>
              <w:bottom w:val="single" w:sz="4" w:space="0" w:color="auto"/>
              <w:right w:val="nil"/>
            </w:tcBorders>
            <w:shd w:val="clear" w:color="auto" w:fill="auto"/>
            <w:vAlign w:val="center"/>
          </w:tcPr>
          <w:p w:rsidR="00725F1C" w:rsidRPr="009F4EEC" w:rsidRDefault="00725F1C" w:rsidP="00725F1C">
            <w:pPr>
              <w:pStyle w:val="ListParagraph"/>
              <w:ind w:left="459"/>
              <w:rPr>
                <w:rFonts w:ascii="Arial" w:hAnsi="Arial" w:cs="Arial"/>
                <w:sz w:val="20"/>
                <w:szCs w:val="20"/>
              </w:rPr>
            </w:pPr>
          </w:p>
        </w:tc>
      </w:tr>
      <w:tr w:rsidR="00B00707" w:rsidRPr="00D013F5" w:rsidTr="00311A98">
        <w:trPr>
          <w:trHeight w:val="241"/>
        </w:trPr>
        <w:tc>
          <w:tcPr>
            <w:tcW w:w="10915" w:type="dxa"/>
            <w:tcBorders>
              <w:top w:val="single" w:sz="4" w:space="0" w:color="auto"/>
              <w:left w:val="nil"/>
              <w:bottom w:val="nil"/>
              <w:right w:val="nil"/>
            </w:tcBorders>
            <w:shd w:val="clear" w:color="auto" w:fill="auto"/>
            <w:vAlign w:val="center"/>
          </w:tcPr>
          <w:p w:rsidR="00B00707" w:rsidRPr="00B00707" w:rsidRDefault="00B00707" w:rsidP="00B00707">
            <w:pPr>
              <w:rPr>
                <w:sz w:val="20"/>
                <w:szCs w:val="20"/>
              </w:rPr>
            </w:pPr>
          </w:p>
        </w:tc>
      </w:tr>
      <w:tr w:rsidR="00B00707" w:rsidRPr="00D013F5" w:rsidTr="00311A98">
        <w:trPr>
          <w:trHeight w:val="241"/>
        </w:trPr>
        <w:tc>
          <w:tcPr>
            <w:tcW w:w="10915" w:type="dxa"/>
            <w:tcBorders>
              <w:top w:val="nil"/>
              <w:left w:val="nil"/>
              <w:bottom w:val="single" w:sz="4" w:space="0" w:color="auto"/>
              <w:right w:val="nil"/>
            </w:tcBorders>
            <w:shd w:val="clear" w:color="auto" w:fill="auto"/>
            <w:vAlign w:val="center"/>
          </w:tcPr>
          <w:p w:rsidR="00B00707" w:rsidRPr="006B202D" w:rsidRDefault="00B00707" w:rsidP="00B00707">
            <w:pPr>
              <w:pStyle w:val="ListParagraph"/>
              <w:numPr>
                <w:ilvl w:val="0"/>
                <w:numId w:val="9"/>
              </w:numPr>
              <w:ind w:left="459" w:hanging="425"/>
              <w:rPr>
                <w:rFonts w:ascii="Arial" w:hAnsi="Arial" w:cs="Arial"/>
                <w:sz w:val="20"/>
                <w:szCs w:val="20"/>
              </w:rPr>
            </w:pPr>
            <w:r w:rsidRPr="006B202D">
              <w:rPr>
                <w:rFonts w:ascii="Arial" w:hAnsi="Arial" w:cs="Arial"/>
                <w:sz w:val="20"/>
                <w:szCs w:val="20"/>
              </w:rPr>
              <w:t>Your firm will familiarize itself with the “Lloyd's Underwriters' Policyholders' Complaint Protocol"</w:t>
            </w:r>
            <w:r w:rsidR="006B202D" w:rsidRPr="006B202D">
              <w:rPr>
                <w:rFonts w:ascii="Arial" w:hAnsi="Arial" w:cs="Arial"/>
                <w:sz w:val="20"/>
                <w:szCs w:val="20"/>
              </w:rPr>
              <w:t xml:space="preserve">: </w:t>
            </w:r>
            <w:hyperlink r:id="rId13" w:history="1">
              <w:r w:rsidR="004401DE">
                <w:rPr>
                  <w:rStyle w:val="Hyperlink"/>
                  <w:rFonts w:ascii="Arial" w:hAnsi="Arial" w:cs="Arial"/>
                  <w:sz w:val="20"/>
                  <w:szCs w:val="20"/>
                </w:rPr>
                <w:t>LSW1542F</w:t>
              </w:r>
            </w:hyperlink>
          </w:p>
          <w:p w:rsidR="00B00707" w:rsidRPr="00B00707" w:rsidRDefault="00B00707" w:rsidP="00B00707">
            <w:pPr>
              <w:rPr>
                <w:sz w:val="20"/>
                <w:szCs w:val="20"/>
              </w:rPr>
            </w:pPr>
          </w:p>
        </w:tc>
      </w:tr>
      <w:tr w:rsidR="00311A98" w:rsidRPr="00D013F5" w:rsidTr="00311A98">
        <w:trPr>
          <w:trHeight w:val="241"/>
        </w:trPr>
        <w:tc>
          <w:tcPr>
            <w:tcW w:w="10915" w:type="dxa"/>
            <w:tcBorders>
              <w:top w:val="single" w:sz="4" w:space="0" w:color="auto"/>
              <w:left w:val="nil"/>
              <w:bottom w:val="nil"/>
              <w:right w:val="nil"/>
            </w:tcBorders>
            <w:shd w:val="clear" w:color="auto" w:fill="auto"/>
            <w:vAlign w:val="center"/>
          </w:tcPr>
          <w:p w:rsidR="00311A98" w:rsidRPr="00311A98" w:rsidRDefault="00311A98" w:rsidP="00311A98">
            <w:pPr>
              <w:rPr>
                <w:sz w:val="20"/>
                <w:szCs w:val="20"/>
              </w:rPr>
            </w:pPr>
          </w:p>
        </w:tc>
      </w:tr>
      <w:tr w:rsidR="00311A98" w:rsidRPr="00D013F5" w:rsidTr="00B00707">
        <w:trPr>
          <w:trHeight w:val="241"/>
        </w:trPr>
        <w:tc>
          <w:tcPr>
            <w:tcW w:w="10915" w:type="dxa"/>
            <w:tcBorders>
              <w:top w:val="nil"/>
              <w:left w:val="nil"/>
              <w:bottom w:val="single" w:sz="4" w:space="0" w:color="auto"/>
              <w:right w:val="nil"/>
            </w:tcBorders>
            <w:shd w:val="clear" w:color="auto" w:fill="auto"/>
            <w:vAlign w:val="center"/>
          </w:tcPr>
          <w:p w:rsidR="00311A98" w:rsidRPr="00725F1C" w:rsidRDefault="00311A98" w:rsidP="00311A98">
            <w:pPr>
              <w:pStyle w:val="ListParagraph"/>
              <w:numPr>
                <w:ilvl w:val="0"/>
                <w:numId w:val="9"/>
              </w:numPr>
              <w:ind w:left="459" w:hanging="425"/>
              <w:rPr>
                <w:rFonts w:ascii="Arial" w:hAnsi="Arial" w:cs="Arial"/>
                <w:sz w:val="20"/>
                <w:szCs w:val="20"/>
              </w:rPr>
            </w:pPr>
            <w:r w:rsidRPr="00725F1C">
              <w:rPr>
                <w:rFonts w:ascii="Arial" w:hAnsi="Arial" w:cs="Arial"/>
                <w:sz w:val="20"/>
                <w:szCs w:val="20"/>
              </w:rPr>
              <w:t xml:space="preserve">Your firm will familiarize itself and comply with the </w:t>
            </w:r>
            <w:r w:rsidRPr="00725F1C">
              <w:rPr>
                <w:rFonts w:ascii="Arial" w:hAnsi="Arial" w:cs="Arial"/>
                <w:b/>
                <w:sz w:val="20"/>
                <w:szCs w:val="20"/>
              </w:rPr>
              <w:t>Lloyd’s Brand</w:t>
            </w:r>
            <w:r w:rsidRPr="00725F1C">
              <w:rPr>
                <w:rFonts w:ascii="Arial" w:hAnsi="Arial" w:cs="Arial"/>
                <w:sz w:val="20"/>
                <w:szCs w:val="20"/>
              </w:rPr>
              <w:t xml:space="preserve"> guidelines</w:t>
            </w:r>
            <w:r w:rsidR="00A055FA" w:rsidRPr="00725F1C">
              <w:rPr>
                <w:rFonts w:ascii="Arial" w:hAnsi="Arial" w:cs="Arial"/>
                <w:sz w:val="20"/>
                <w:szCs w:val="20"/>
              </w:rPr>
              <w:t>.</w:t>
            </w:r>
          </w:p>
          <w:p w:rsidR="00311A98" w:rsidRPr="00311A98" w:rsidRDefault="00311A98" w:rsidP="00311A98">
            <w:pPr>
              <w:rPr>
                <w:sz w:val="20"/>
                <w:szCs w:val="20"/>
              </w:rPr>
            </w:pPr>
          </w:p>
        </w:tc>
      </w:tr>
      <w:tr w:rsidR="00943443" w:rsidRPr="00D013F5" w:rsidTr="00F9157F">
        <w:trPr>
          <w:trHeight w:val="241"/>
        </w:trPr>
        <w:tc>
          <w:tcPr>
            <w:tcW w:w="10915" w:type="dxa"/>
            <w:tcBorders>
              <w:top w:val="single" w:sz="4" w:space="0" w:color="auto"/>
              <w:left w:val="nil"/>
              <w:bottom w:val="nil"/>
              <w:right w:val="nil"/>
            </w:tcBorders>
            <w:shd w:val="clear" w:color="auto" w:fill="auto"/>
            <w:vAlign w:val="center"/>
          </w:tcPr>
          <w:p w:rsidR="00943443" w:rsidRPr="00311A98" w:rsidRDefault="00943443" w:rsidP="00F9157F">
            <w:pPr>
              <w:rPr>
                <w:sz w:val="20"/>
                <w:szCs w:val="20"/>
              </w:rPr>
            </w:pPr>
          </w:p>
        </w:tc>
      </w:tr>
      <w:tr w:rsidR="00943443" w:rsidRPr="00D013F5" w:rsidTr="00F9157F">
        <w:trPr>
          <w:trHeight w:val="241"/>
        </w:trPr>
        <w:tc>
          <w:tcPr>
            <w:tcW w:w="10915" w:type="dxa"/>
            <w:tcBorders>
              <w:top w:val="nil"/>
              <w:left w:val="nil"/>
              <w:bottom w:val="single" w:sz="4" w:space="0" w:color="auto"/>
              <w:right w:val="nil"/>
            </w:tcBorders>
            <w:shd w:val="clear" w:color="auto" w:fill="auto"/>
            <w:vAlign w:val="center"/>
          </w:tcPr>
          <w:p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 xml:space="preserve">Your firm understands that it is </w:t>
            </w:r>
            <w:r w:rsidRPr="009F4EEC">
              <w:rPr>
                <w:rFonts w:ascii="Arial" w:hAnsi="Arial" w:cs="Arial"/>
                <w:sz w:val="20"/>
                <w:szCs w:val="20"/>
                <w:u w:val="single"/>
              </w:rPr>
              <w:t>your</w:t>
            </w:r>
            <w:r w:rsidRPr="009F4EEC">
              <w:rPr>
                <w:rFonts w:ascii="Arial" w:hAnsi="Arial" w:cs="Arial"/>
                <w:sz w:val="20"/>
                <w:szCs w:val="20"/>
              </w:rPr>
              <w:t xml:space="preserve"> responsib</w:t>
            </w:r>
            <w:r w:rsidR="00C40D6D">
              <w:rPr>
                <w:rFonts w:ascii="Arial" w:hAnsi="Arial" w:cs="Arial"/>
                <w:sz w:val="20"/>
                <w:szCs w:val="20"/>
              </w:rPr>
              <w:t>ility</w:t>
            </w:r>
            <w:r w:rsidRPr="009F4EEC">
              <w:rPr>
                <w:rFonts w:ascii="Arial" w:hAnsi="Arial" w:cs="Arial"/>
                <w:sz w:val="20"/>
                <w:szCs w:val="20"/>
              </w:rPr>
              <w:t xml:space="preserve"> to collect and directly remit the Provincial Sales Tax on each policy to the appropriate government authorities. </w:t>
            </w:r>
          </w:p>
          <w:p w:rsidR="00943443" w:rsidRPr="009F4EEC" w:rsidRDefault="00943443" w:rsidP="00943443">
            <w:pPr>
              <w:pStyle w:val="ListParagraph"/>
              <w:ind w:left="284"/>
              <w:rPr>
                <w:rFonts w:ascii="Arial" w:hAnsi="Arial" w:cs="Arial"/>
                <w:sz w:val="20"/>
                <w:szCs w:val="20"/>
              </w:rPr>
            </w:pPr>
          </w:p>
          <w:p w:rsidR="00943443" w:rsidRPr="00943443" w:rsidRDefault="00943443" w:rsidP="00943443">
            <w:pPr>
              <w:ind w:left="459"/>
              <w:rPr>
                <w:sz w:val="20"/>
                <w:szCs w:val="20"/>
              </w:rPr>
            </w:pPr>
            <w:r w:rsidRPr="009F4EEC">
              <w:rPr>
                <w:b/>
                <w:sz w:val="20"/>
                <w:szCs w:val="20"/>
              </w:rPr>
              <w:t>Note</w:t>
            </w:r>
            <w:r w:rsidRPr="006B202D">
              <w:rPr>
                <w:b/>
                <w:sz w:val="20"/>
                <w:szCs w:val="20"/>
              </w:rPr>
              <w:t xml:space="preserve">: </w:t>
            </w:r>
            <w:r w:rsidRPr="009F4EEC">
              <w:rPr>
                <w:sz w:val="20"/>
                <w:szCs w:val="20"/>
              </w:rPr>
              <w:t>It is the responsibility of Lloyd’s Underwriters to pay the premium and fire tax on each provincial policy.</w:t>
            </w:r>
          </w:p>
          <w:p w:rsidR="00943443" w:rsidRPr="00311A98" w:rsidRDefault="00943443" w:rsidP="00F9157F">
            <w:pPr>
              <w:rPr>
                <w:sz w:val="20"/>
                <w:szCs w:val="20"/>
              </w:rPr>
            </w:pPr>
          </w:p>
        </w:tc>
      </w:tr>
      <w:tr w:rsidR="00943443" w:rsidRPr="00D013F5" w:rsidTr="00F9157F">
        <w:trPr>
          <w:trHeight w:val="241"/>
        </w:trPr>
        <w:tc>
          <w:tcPr>
            <w:tcW w:w="10915" w:type="dxa"/>
            <w:tcBorders>
              <w:top w:val="single" w:sz="4" w:space="0" w:color="auto"/>
              <w:left w:val="nil"/>
              <w:bottom w:val="nil"/>
              <w:right w:val="nil"/>
            </w:tcBorders>
            <w:shd w:val="clear" w:color="auto" w:fill="auto"/>
            <w:vAlign w:val="center"/>
          </w:tcPr>
          <w:p w:rsidR="00943443" w:rsidRPr="00311A98" w:rsidRDefault="00943443" w:rsidP="00F9157F">
            <w:pPr>
              <w:rPr>
                <w:sz w:val="20"/>
                <w:szCs w:val="20"/>
              </w:rPr>
            </w:pPr>
          </w:p>
        </w:tc>
      </w:tr>
      <w:tr w:rsidR="00943443" w:rsidRPr="00D013F5" w:rsidTr="00F9157F">
        <w:trPr>
          <w:trHeight w:val="241"/>
        </w:trPr>
        <w:tc>
          <w:tcPr>
            <w:tcW w:w="10915" w:type="dxa"/>
            <w:tcBorders>
              <w:top w:val="nil"/>
              <w:left w:val="nil"/>
              <w:bottom w:val="single" w:sz="4" w:space="0" w:color="auto"/>
              <w:right w:val="nil"/>
            </w:tcBorders>
            <w:shd w:val="clear" w:color="auto" w:fill="auto"/>
            <w:vAlign w:val="center"/>
          </w:tcPr>
          <w:p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Where legal documents are served on the Attorney In Fact/Lloyd's Representative/Superintendent of Insurance, these will be referred to the applicant who is to ensure that the concerned Lloyd's Underwriters' interests are protected (this generally mean</w:t>
            </w:r>
            <w:r w:rsidR="004401DE">
              <w:rPr>
                <w:rFonts w:ascii="Arial" w:hAnsi="Arial" w:cs="Arial"/>
                <w:sz w:val="20"/>
                <w:szCs w:val="20"/>
              </w:rPr>
              <w:t>s</w:t>
            </w:r>
            <w:r w:rsidRPr="009F4EEC">
              <w:rPr>
                <w:rFonts w:ascii="Arial" w:hAnsi="Arial" w:cs="Arial"/>
                <w:sz w:val="20"/>
                <w:szCs w:val="20"/>
              </w:rPr>
              <w:t xml:space="preserve"> the appointment of legal counsel, as instructed by Underwriters). If you are directly served with a legal action intended for Lloyd’s Underwriters, you are to immediately advise the office of the Attorney In Fact at </w:t>
            </w:r>
            <w:hyperlink r:id="rId14" w:history="1">
              <w:r w:rsidR="00A055FA" w:rsidRPr="00AB1EBF">
                <w:rPr>
                  <w:rStyle w:val="Hyperlink"/>
                  <w:rFonts w:ascii="Arial" w:hAnsi="Arial" w:cs="Arial"/>
                  <w:sz w:val="20"/>
                  <w:szCs w:val="20"/>
                </w:rPr>
                <w:t>info@lloyds.ca</w:t>
              </w:r>
            </w:hyperlink>
            <w:r w:rsidRPr="009F4EEC">
              <w:rPr>
                <w:rFonts w:ascii="Arial" w:hAnsi="Arial" w:cs="Arial"/>
                <w:sz w:val="20"/>
                <w:szCs w:val="20"/>
              </w:rPr>
              <w:t>.</w:t>
            </w:r>
            <w:r w:rsidRPr="009F4EEC">
              <w:rPr>
                <w:rFonts w:ascii="Arial" w:hAnsi="Arial" w:cs="Arial"/>
                <w:i/>
                <w:sz w:val="20"/>
                <w:szCs w:val="20"/>
              </w:rPr>
              <w:t xml:space="preserve">  </w:t>
            </w:r>
          </w:p>
          <w:p w:rsidR="00943443" w:rsidRPr="00943443" w:rsidRDefault="00943443" w:rsidP="00F9157F">
            <w:pPr>
              <w:rPr>
                <w:sz w:val="20"/>
                <w:szCs w:val="20"/>
                <w:lang w:val="en-CA"/>
              </w:rPr>
            </w:pPr>
          </w:p>
        </w:tc>
      </w:tr>
      <w:tr w:rsidR="00943443" w:rsidRPr="00D013F5" w:rsidTr="00F9157F">
        <w:trPr>
          <w:trHeight w:val="241"/>
        </w:trPr>
        <w:tc>
          <w:tcPr>
            <w:tcW w:w="10915" w:type="dxa"/>
            <w:tcBorders>
              <w:top w:val="single" w:sz="4" w:space="0" w:color="auto"/>
              <w:left w:val="nil"/>
              <w:bottom w:val="nil"/>
              <w:right w:val="nil"/>
            </w:tcBorders>
            <w:shd w:val="clear" w:color="auto" w:fill="auto"/>
            <w:vAlign w:val="center"/>
          </w:tcPr>
          <w:p w:rsidR="00943443" w:rsidRPr="00311A98" w:rsidRDefault="00943443" w:rsidP="00F9157F">
            <w:pPr>
              <w:rPr>
                <w:sz w:val="20"/>
                <w:szCs w:val="20"/>
              </w:rPr>
            </w:pPr>
          </w:p>
        </w:tc>
      </w:tr>
      <w:tr w:rsidR="00943443" w:rsidRPr="00D013F5" w:rsidTr="001F3BC3">
        <w:trPr>
          <w:trHeight w:val="241"/>
        </w:trPr>
        <w:tc>
          <w:tcPr>
            <w:tcW w:w="10915" w:type="dxa"/>
            <w:tcBorders>
              <w:top w:val="nil"/>
              <w:left w:val="nil"/>
              <w:bottom w:val="single" w:sz="4" w:space="0" w:color="auto"/>
              <w:right w:val="nil"/>
            </w:tcBorders>
            <w:shd w:val="clear" w:color="auto" w:fill="auto"/>
            <w:vAlign w:val="center"/>
          </w:tcPr>
          <w:p w:rsidR="00943443" w:rsidRPr="00725F1C" w:rsidRDefault="00943443" w:rsidP="00943443">
            <w:pPr>
              <w:pStyle w:val="ListParagraph"/>
              <w:numPr>
                <w:ilvl w:val="0"/>
                <w:numId w:val="9"/>
              </w:numPr>
              <w:ind w:left="459" w:hanging="425"/>
              <w:rPr>
                <w:rFonts w:ascii="Arial" w:hAnsi="Arial" w:cs="Arial"/>
                <w:sz w:val="20"/>
                <w:szCs w:val="20"/>
              </w:rPr>
            </w:pPr>
            <w:r w:rsidRPr="00725F1C">
              <w:rPr>
                <w:rFonts w:ascii="Arial" w:hAnsi="Arial" w:cs="Arial"/>
                <w:sz w:val="20"/>
                <w:szCs w:val="20"/>
              </w:rPr>
              <w:t>Your firm will need to register and abide by the terms set out in the Canada Manual found in </w:t>
            </w:r>
            <w:hyperlink r:id="rId15" w:history="1">
              <w:r w:rsidR="00365225" w:rsidRPr="00725F1C">
                <w:rPr>
                  <w:rStyle w:val="Hyperlink"/>
                  <w:rFonts w:ascii="Arial" w:hAnsi="Arial" w:cs="Arial"/>
                  <w:sz w:val="20"/>
                  <w:szCs w:val="20"/>
                </w:rPr>
                <w:t>Crystal</w:t>
              </w:r>
            </w:hyperlink>
            <w:r w:rsidRPr="00725F1C">
              <w:rPr>
                <w:rFonts w:ascii="Arial" w:hAnsi="Arial" w:cs="Arial"/>
                <w:sz w:val="20"/>
                <w:szCs w:val="20"/>
              </w:rPr>
              <w:t xml:space="preserve"> accessible through the Lloyd’s website.  </w:t>
            </w:r>
          </w:p>
          <w:p w:rsidR="00943443" w:rsidRPr="00311A98" w:rsidRDefault="00943443" w:rsidP="00F9157F">
            <w:pPr>
              <w:rPr>
                <w:sz w:val="20"/>
                <w:szCs w:val="20"/>
              </w:rPr>
            </w:pPr>
          </w:p>
        </w:tc>
      </w:tr>
      <w:tr w:rsidR="000E3F33" w:rsidRPr="00D013F5" w:rsidTr="001F3BC3">
        <w:trPr>
          <w:trHeight w:val="241"/>
        </w:trPr>
        <w:tc>
          <w:tcPr>
            <w:tcW w:w="10915" w:type="dxa"/>
            <w:tcBorders>
              <w:top w:val="single" w:sz="4" w:space="0" w:color="auto"/>
              <w:left w:val="nil"/>
              <w:bottom w:val="nil"/>
              <w:right w:val="nil"/>
            </w:tcBorders>
            <w:shd w:val="clear" w:color="auto" w:fill="auto"/>
            <w:vAlign w:val="center"/>
          </w:tcPr>
          <w:p w:rsidR="000E3F33" w:rsidRPr="00725F1C" w:rsidRDefault="000E3F33" w:rsidP="000E3F33">
            <w:pPr>
              <w:pStyle w:val="ListParagraph"/>
              <w:ind w:left="459"/>
              <w:rPr>
                <w:rFonts w:ascii="Arial" w:hAnsi="Arial" w:cs="Arial"/>
                <w:sz w:val="20"/>
                <w:szCs w:val="20"/>
              </w:rPr>
            </w:pPr>
          </w:p>
        </w:tc>
      </w:tr>
      <w:tr w:rsidR="000E3F33" w:rsidRPr="00D013F5" w:rsidTr="001F3BC3">
        <w:trPr>
          <w:trHeight w:val="241"/>
        </w:trPr>
        <w:tc>
          <w:tcPr>
            <w:tcW w:w="10915" w:type="dxa"/>
            <w:tcBorders>
              <w:top w:val="nil"/>
              <w:left w:val="nil"/>
              <w:bottom w:val="nil"/>
              <w:right w:val="nil"/>
            </w:tcBorders>
            <w:shd w:val="clear" w:color="auto" w:fill="auto"/>
            <w:vAlign w:val="center"/>
          </w:tcPr>
          <w:p w:rsidR="000E3F33" w:rsidRPr="00725F1C" w:rsidRDefault="000E3F33" w:rsidP="000E3F33">
            <w:pPr>
              <w:pStyle w:val="ListParagraph"/>
              <w:ind w:left="459"/>
              <w:rPr>
                <w:rFonts w:ascii="Arial" w:hAnsi="Arial" w:cs="Arial"/>
                <w:sz w:val="20"/>
                <w:szCs w:val="20"/>
              </w:rPr>
            </w:pPr>
          </w:p>
        </w:tc>
      </w:tr>
      <w:tr w:rsidR="000E3F33" w:rsidRPr="00D013F5" w:rsidTr="001F3BC3">
        <w:trPr>
          <w:trHeight w:val="241"/>
        </w:trPr>
        <w:tc>
          <w:tcPr>
            <w:tcW w:w="10915" w:type="dxa"/>
            <w:tcBorders>
              <w:top w:val="nil"/>
              <w:left w:val="nil"/>
              <w:bottom w:val="nil"/>
              <w:right w:val="nil"/>
            </w:tcBorders>
            <w:shd w:val="clear" w:color="auto" w:fill="auto"/>
            <w:vAlign w:val="center"/>
          </w:tcPr>
          <w:p w:rsidR="000E3F33" w:rsidRPr="00725F1C" w:rsidRDefault="000E3F33" w:rsidP="000E3F33">
            <w:pPr>
              <w:pStyle w:val="ListParagraph"/>
              <w:ind w:left="459"/>
              <w:rPr>
                <w:rFonts w:ascii="Arial" w:hAnsi="Arial" w:cs="Arial"/>
                <w:sz w:val="20"/>
                <w:szCs w:val="20"/>
              </w:rPr>
            </w:pPr>
          </w:p>
        </w:tc>
      </w:tr>
      <w:tr w:rsidR="000E3F33" w:rsidRPr="00D013F5" w:rsidTr="001F3BC3">
        <w:trPr>
          <w:trHeight w:val="241"/>
        </w:trPr>
        <w:tc>
          <w:tcPr>
            <w:tcW w:w="10915" w:type="dxa"/>
            <w:tcBorders>
              <w:top w:val="nil"/>
              <w:left w:val="nil"/>
              <w:bottom w:val="single" w:sz="4" w:space="0" w:color="auto"/>
              <w:right w:val="nil"/>
            </w:tcBorders>
            <w:shd w:val="clear" w:color="auto" w:fill="auto"/>
            <w:vAlign w:val="center"/>
          </w:tcPr>
          <w:p w:rsidR="000E3F33" w:rsidRPr="00725F1C" w:rsidRDefault="000E3F33" w:rsidP="000E3F33">
            <w:pPr>
              <w:pStyle w:val="ListParagraph"/>
              <w:ind w:left="459"/>
              <w:rPr>
                <w:rFonts w:ascii="Arial" w:hAnsi="Arial" w:cs="Arial"/>
                <w:sz w:val="20"/>
                <w:szCs w:val="20"/>
              </w:rPr>
            </w:pPr>
          </w:p>
        </w:tc>
      </w:tr>
      <w:tr w:rsidR="00F06ADE" w:rsidRPr="00D013F5" w:rsidTr="00F06ADE">
        <w:trPr>
          <w:trHeight w:val="241"/>
        </w:trPr>
        <w:tc>
          <w:tcPr>
            <w:tcW w:w="10915" w:type="dxa"/>
            <w:tcBorders>
              <w:top w:val="single" w:sz="4" w:space="0" w:color="auto"/>
              <w:left w:val="nil"/>
              <w:bottom w:val="nil"/>
              <w:right w:val="nil"/>
            </w:tcBorders>
            <w:shd w:val="clear" w:color="auto" w:fill="auto"/>
            <w:vAlign w:val="center"/>
          </w:tcPr>
          <w:p w:rsidR="00F06ADE" w:rsidRPr="00311A98" w:rsidRDefault="00F06ADE" w:rsidP="00F9157F">
            <w:pPr>
              <w:rPr>
                <w:sz w:val="20"/>
                <w:szCs w:val="20"/>
              </w:rPr>
            </w:pPr>
          </w:p>
        </w:tc>
      </w:tr>
      <w:tr w:rsidR="00943443" w:rsidRPr="00D013F5" w:rsidTr="00F9157F">
        <w:trPr>
          <w:trHeight w:val="241"/>
        </w:trPr>
        <w:tc>
          <w:tcPr>
            <w:tcW w:w="10915" w:type="dxa"/>
            <w:tcBorders>
              <w:top w:val="nil"/>
              <w:left w:val="nil"/>
              <w:bottom w:val="single" w:sz="4" w:space="0" w:color="auto"/>
              <w:right w:val="nil"/>
            </w:tcBorders>
            <w:shd w:val="clear" w:color="auto" w:fill="auto"/>
            <w:vAlign w:val="center"/>
          </w:tcPr>
          <w:p w:rsidR="00943443" w:rsidRPr="009F4EEC" w:rsidRDefault="00943443" w:rsidP="00943443">
            <w:pPr>
              <w:pStyle w:val="ListParagraph"/>
              <w:numPr>
                <w:ilvl w:val="0"/>
                <w:numId w:val="9"/>
              </w:numPr>
              <w:ind w:left="459" w:hanging="425"/>
              <w:rPr>
                <w:rFonts w:ascii="Arial" w:hAnsi="Arial" w:cs="Arial"/>
                <w:sz w:val="20"/>
                <w:szCs w:val="20"/>
              </w:rPr>
            </w:pPr>
            <w:r w:rsidRPr="009F4EEC">
              <w:rPr>
                <w:rFonts w:ascii="Arial" w:hAnsi="Arial" w:cs="Arial"/>
                <w:sz w:val="20"/>
                <w:szCs w:val="20"/>
              </w:rPr>
              <w:t>Your firm underst</w:t>
            </w:r>
            <w:r w:rsidR="00BD0659">
              <w:rPr>
                <w:rFonts w:ascii="Arial" w:hAnsi="Arial" w:cs="Arial"/>
                <w:sz w:val="20"/>
                <w:szCs w:val="20"/>
              </w:rPr>
              <w:t xml:space="preserve">ands the responsibilities as a </w:t>
            </w:r>
            <w:proofErr w:type="spellStart"/>
            <w:r w:rsidR="00BD0659">
              <w:rPr>
                <w:rFonts w:ascii="Arial" w:hAnsi="Arial" w:cs="Arial"/>
                <w:sz w:val="20"/>
                <w:szCs w:val="20"/>
              </w:rPr>
              <w:t>C</w:t>
            </w:r>
            <w:r w:rsidRPr="009F4EEC">
              <w:rPr>
                <w:rFonts w:ascii="Arial" w:hAnsi="Arial" w:cs="Arial"/>
                <w:sz w:val="20"/>
                <w:szCs w:val="20"/>
              </w:rPr>
              <w:t>overholder</w:t>
            </w:r>
            <w:proofErr w:type="spellEnd"/>
            <w:r w:rsidRPr="009F4EEC">
              <w:rPr>
                <w:rFonts w:ascii="Arial" w:hAnsi="Arial" w:cs="Arial"/>
                <w:sz w:val="20"/>
                <w:szCs w:val="20"/>
              </w:rPr>
              <w:t xml:space="preserve"> </w:t>
            </w:r>
            <w:r w:rsidR="004422E5">
              <w:rPr>
                <w:rFonts w:ascii="Arial" w:hAnsi="Arial" w:cs="Arial"/>
                <w:sz w:val="20"/>
                <w:szCs w:val="20"/>
              </w:rPr>
              <w:t xml:space="preserve">Extension </w:t>
            </w:r>
            <w:r w:rsidRPr="009F4EEC">
              <w:rPr>
                <w:rFonts w:ascii="Arial" w:hAnsi="Arial" w:cs="Arial"/>
                <w:sz w:val="20"/>
                <w:szCs w:val="20"/>
              </w:rPr>
              <w:t xml:space="preserve">as it relates to (but are not limited to) the implication and the application of the following topics:   </w:t>
            </w:r>
          </w:p>
          <w:p w:rsidR="00943443" w:rsidRPr="009F4EEC" w:rsidRDefault="00943443" w:rsidP="00943443">
            <w:pPr>
              <w:pStyle w:val="ListParagraph"/>
              <w:ind w:left="284"/>
              <w:rPr>
                <w:rFonts w:ascii="Arial" w:hAnsi="Arial" w:cs="Arial"/>
                <w:sz w:val="20"/>
                <w:szCs w:val="20"/>
              </w:rPr>
            </w:pPr>
            <w:r w:rsidRPr="009F4EEC">
              <w:rPr>
                <w:rFonts w:ascii="Arial" w:hAnsi="Arial" w:cs="Arial"/>
                <w:sz w:val="20"/>
                <w:szCs w:val="20"/>
              </w:rPr>
              <w:t xml:space="preserve">   </w:t>
            </w:r>
          </w:p>
          <w:p w:rsidR="00943443" w:rsidRPr="009F4EEC" w:rsidRDefault="00943443" w:rsidP="00943443">
            <w:pPr>
              <w:numPr>
                <w:ilvl w:val="0"/>
                <w:numId w:val="5"/>
              </w:numPr>
              <w:ind w:left="885" w:hanging="426"/>
              <w:rPr>
                <w:sz w:val="20"/>
                <w:szCs w:val="20"/>
              </w:rPr>
            </w:pPr>
            <w:r w:rsidRPr="009F4EEC">
              <w:rPr>
                <w:sz w:val="20"/>
                <w:szCs w:val="20"/>
              </w:rPr>
              <w:t>Licensing Requirements</w:t>
            </w:r>
          </w:p>
          <w:p w:rsidR="00943443" w:rsidRPr="009F4EEC" w:rsidRDefault="00943443" w:rsidP="00943443">
            <w:pPr>
              <w:ind w:left="885"/>
              <w:rPr>
                <w:sz w:val="20"/>
                <w:szCs w:val="20"/>
              </w:rPr>
            </w:pPr>
            <w:r w:rsidRPr="009F4EEC">
              <w:rPr>
                <w:sz w:val="20"/>
                <w:szCs w:val="20"/>
              </w:rPr>
              <w:t>Choice of Law</w:t>
            </w:r>
          </w:p>
          <w:p w:rsidR="00943443" w:rsidRPr="009F4EEC" w:rsidRDefault="00943443" w:rsidP="00943443">
            <w:pPr>
              <w:ind w:left="885"/>
              <w:rPr>
                <w:sz w:val="20"/>
                <w:szCs w:val="20"/>
              </w:rPr>
            </w:pPr>
            <w:r w:rsidRPr="009F4EEC">
              <w:rPr>
                <w:sz w:val="20"/>
                <w:szCs w:val="20"/>
              </w:rPr>
              <w:t>Jurisdiction</w:t>
            </w:r>
          </w:p>
          <w:p w:rsidR="00943443" w:rsidRPr="009F4EEC" w:rsidRDefault="00943443" w:rsidP="00943443">
            <w:pPr>
              <w:ind w:left="885"/>
              <w:rPr>
                <w:sz w:val="20"/>
                <w:szCs w:val="20"/>
              </w:rPr>
            </w:pPr>
            <w:r w:rsidRPr="009F4EEC">
              <w:rPr>
                <w:sz w:val="20"/>
                <w:szCs w:val="20"/>
              </w:rPr>
              <w:t>Disclosure</w:t>
            </w:r>
          </w:p>
          <w:p w:rsidR="00943443" w:rsidRPr="009F4EEC" w:rsidRDefault="00943443" w:rsidP="00943443">
            <w:pPr>
              <w:ind w:left="885"/>
              <w:rPr>
                <w:sz w:val="20"/>
                <w:szCs w:val="20"/>
              </w:rPr>
            </w:pPr>
            <w:r w:rsidRPr="009F4EEC">
              <w:rPr>
                <w:sz w:val="20"/>
                <w:szCs w:val="20"/>
              </w:rPr>
              <w:t>Lloyd’s Code of Consumer Rights and Responsibilities – LSW1565C</w:t>
            </w:r>
          </w:p>
          <w:p w:rsidR="00943443" w:rsidRPr="009F4EEC" w:rsidRDefault="00943443" w:rsidP="00943443">
            <w:pPr>
              <w:ind w:left="885"/>
              <w:rPr>
                <w:sz w:val="20"/>
                <w:szCs w:val="20"/>
              </w:rPr>
            </w:pPr>
            <w:r w:rsidRPr="009F4EEC">
              <w:rPr>
                <w:sz w:val="20"/>
                <w:szCs w:val="20"/>
              </w:rPr>
              <w:t>Cancellation and Non-Renewal</w:t>
            </w:r>
          </w:p>
          <w:p w:rsidR="00943443" w:rsidRPr="009F4EEC" w:rsidRDefault="00943443" w:rsidP="00943443">
            <w:pPr>
              <w:ind w:left="885"/>
              <w:rPr>
                <w:sz w:val="20"/>
                <w:szCs w:val="20"/>
              </w:rPr>
            </w:pPr>
            <w:r w:rsidRPr="009F4EEC">
              <w:rPr>
                <w:sz w:val="20"/>
                <w:szCs w:val="20"/>
              </w:rPr>
              <w:t>Countersignature Requirements</w:t>
            </w:r>
          </w:p>
          <w:p w:rsidR="00943443" w:rsidRPr="009F4EEC" w:rsidRDefault="00943443" w:rsidP="00943443">
            <w:pPr>
              <w:ind w:left="885"/>
              <w:rPr>
                <w:sz w:val="20"/>
                <w:szCs w:val="20"/>
              </w:rPr>
            </w:pPr>
            <w:r w:rsidRPr="009F4EEC">
              <w:rPr>
                <w:sz w:val="20"/>
                <w:szCs w:val="20"/>
              </w:rPr>
              <w:t>Master Policies</w:t>
            </w:r>
          </w:p>
          <w:p w:rsidR="00943443" w:rsidRPr="009F4EEC" w:rsidRDefault="00943443" w:rsidP="00943443">
            <w:pPr>
              <w:ind w:left="885"/>
              <w:rPr>
                <w:sz w:val="20"/>
                <w:szCs w:val="20"/>
              </w:rPr>
            </w:pPr>
            <w:r w:rsidRPr="009F4EEC">
              <w:rPr>
                <w:sz w:val="20"/>
                <w:szCs w:val="20"/>
              </w:rPr>
              <w:t>Language of Contract</w:t>
            </w:r>
          </w:p>
          <w:p w:rsidR="00943443" w:rsidRPr="009F4EEC" w:rsidRDefault="00943443" w:rsidP="00943443">
            <w:pPr>
              <w:ind w:left="885"/>
              <w:rPr>
                <w:sz w:val="20"/>
                <w:szCs w:val="20"/>
              </w:rPr>
            </w:pPr>
            <w:r w:rsidRPr="009F4EEC">
              <w:rPr>
                <w:sz w:val="20"/>
                <w:szCs w:val="20"/>
              </w:rPr>
              <w:t>Policy Documentation including Subscription Policy Documentation</w:t>
            </w:r>
          </w:p>
          <w:p w:rsidR="00943443" w:rsidRPr="009F4EEC" w:rsidRDefault="00943443" w:rsidP="00943443">
            <w:pPr>
              <w:ind w:left="1004"/>
              <w:rPr>
                <w:sz w:val="20"/>
                <w:szCs w:val="20"/>
              </w:rPr>
            </w:pPr>
          </w:p>
          <w:p w:rsidR="00943443" w:rsidRPr="009F4EEC" w:rsidRDefault="00943443" w:rsidP="00943443">
            <w:pPr>
              <w:numPr>
                <w:ilvl w:val="0"/>
                <w:numId w:val="5"/>
              </w:numPr>
              <w:ind w:left="885" w:hanging="426"/>
              <w:rPr>
                <w:sz w:val="20"/>
                <w:szCs w:val="20"/>
              </w:rPr>
            </w:pPr>
            <w:r w:rsidRPr="009F4EEC">
              <w:rPr>
                <w:sz w:val="20"/>
                <w:szCs w:val="20"/>
              </w:rPr>
              <w:t xml:space="preserve">Year of Account </w:t>
            </w:r>
            <w:r w:rsidR="004422E5">
              <w:rPr>
                <w:sz w:val="20"/>
                <w:szCs w:val="20"/>
              </w:rPr>
              <w:t>(</w:t>
            </w:r>
            <w:r w:rsidR="004422E5" w:rsidRPr="009F4EEC">
              <w:rPr>
                <w:sz w:val="20"/>
                <w:szCs w:val="20"/>
              </w:rPr>
              <w:t>and its implications on lead/follow business</w:t>
            </w:r>
            <w:r w:rsidR="004422E5">
              <w:rPr>
                <w:sz w:val="20"/>
                <w:szCs w:val="20"/>
              </w:rPr>
              <w:t>)</w:t>
            </w:r>
            <w:r w:rsidR="004422E5" w:rsidRPr="009F4EEC">
              <w:rPr>
                <w:sz w:val="20"/>
                <w:szCs w:val="20"/>
              </w:rPr>
              <w:t xml:space="preserve"> </w:t>
            </w:r>
            <w:r w:rsidRPr="009F4EEC">
              <w:rPr>
                <w:sz w:val="20"/>
                <w:szCs w:val="20"/>
              </w:rPr>
              <w:t>- The year to which a risk is allocated and to which all premiums and claims in respect of that risk are attributed. The year of account of a risk is usually determined by the calendar year in which the risk incepts. A year of account is normally closed by reinsu</w:t>
            </w:r>
            <w:r w:rsidR="004422E5">
              <w:rPr>
                <w:sz w:val="20"/>
                <w:szCs w:val="20"/>
              </w:rPr>
              <w:t>rance at the end of 36 months.</w:t>
            </w:r>
            <w:r w:rsidRPr="009F4EEC">
              <w:rPr>
                <w:sz w:val="20"/>
                <w:szCs w:val="20"/>
              </w:rPr>
              <w:t xml:space="preserve">  </w:t>
            </w:r>
          </w:p>
          <w:p w:rsidR="00943443" w:rsidRPr="009F4EEC" w:rsidRDefault="00943443" w:rsidP="00943443">
            <w:pPr>
              <w:ind w:left="885" w:hanging="426"/>
              <w:rPr>
                <w:sz w:val="20"/>
                <w:szCs w:val="20"/>
              </w:rPr>
            </w:pPr>
          </w:p>
          <w:p w:rsidR="00943443" w:rsidRPr="009F4EEC" w:rsidRDefault="00943443" w:rsidP="00943443">
            <w:pPr>
              <w:numPr>
                <w:ilvl w:val="0"/>
                <w:numId w:val="5"/>
              </w:numPr>
              <w:ind w:left="885" w:hanging="426"/>
              <w:rPr>
                <w:sz w:val="20"/>
                <w:szCs w:val="20"/>
              </w:rPr>
            </w:pPr>
            <w:r w:rsidRPr="009F4EEC">
              <w:rPr>
                <w:sz w:val="20"/>
                <w:szCs w:val="20"/>
              </w:rPr>
              <w:t xml:space="preserve">Your firm has developed </w:t>
            </w:r>
            <w:r w:rsidRPr="009F4EEC">
              <w:rPr>
                <w:color w:val="000000"/>
                <w:sz w:val="20"/>
                <w:szCs w:val="20"/>
              </w:rPr>
              <w:t>a suitable and robust policy to meet your obligation to report and monitor any activities by your insureds in relation to money laundering, sanctioned countries and terrorist lists and bribery activities.</w:t>
            </w:r>
            <w:r w:rsidRPr="009F4EEC">
              <w:rPr>
                <w:b/>
                <w:sz w:val="20"/>
                <w:szCs w:val="20"/>
              </w:rPr>
              <w:t xml:space="preserve"> </w:t>
            </w:r>
          </w:p>
          <w:p w:rsidR="00943443" w:rsidRPr="009F4EEC" w:rsidRDefault="00943443" w:rsidP="00943443">
            <w:pPr>
              <w:ind w:left="885" w:hanging="426"/>
              <w:rPr>
                <w:sz w:val="20"/>
                <w:szCs w:val="20"/>
              </w:rPr>
            </w:pPr>
          </w:p>
          <w:p w:rsidR="00943443" w:rsidRPr="009F4EEC" w:rsidRDefault="00943443" w:rsidP="00943443">
            <w:pPr>
              <w:ind w:left="885"/>
              <w:rPr>
                <w:sz w:val="20"/>
                <w:szCs w:val="20"/>
              </w:rPr>
            </w:pPr>
            <w:r w:rsidRPr="009F4EEC">
              <w:rPr>
                <w:sz w:val="20"/>
                <w:szCs w:val="20"/>
              </w:rPr>
              <w:t xml:space="preserve">Lloyd’s has developed three on-line training modules on Financial Crime, which can be found </w:t>
            </w:r>
            <w:hyperlink r:id="rId16" w:history="1">
              <w:r w:rsidR="00033D8E">
                <w:rPr>
                  <w:rStyle w:val="Hyperlink"/>
                  <w:sz w:val="20"/>
                  <w:szCs w:val="20"/>
                </w:rPr>
                <w:t>here</w:t>
              </w:r>
            </w:hyperlink>
            <w:r w:rsidR="00033D8E">
              <w:rPr>
                <w:sz w:val="20"/>
                <w:szCs w:val="20"/>
              </w:rPr>
              <w:t>.</w:t>
            </w:r>
          </w:p>
          <w:p w:rsidR="00943443" w:rsidRPr="009F4EEC" w:rsidRDefault="00943443" w:rsidP="00943443">
            <w:pPr>
              <w:ind w:left="885"/>
              <w:rPr>
                <w:sz w:val="20"/>
                <w:szCs w:val="20"/>
              </w:rPr>
            </w:pPr>
            <w:r w:rsidRPr="009F4EEC">
              <w:rPr>
                <w:sz w:val="20"/>
                <w:szCs w:val="20"/>
              </w:rPr>
              <w:t xml:space="preserve"> </w:t>
            </w:r>
          </w:p>
          <w:p w:rsidR="00943443" w:rsidRDefault="00943443" w:rsidP="00943443">
            <w:pPr>
              <w:ind w:left="885"/>
              <w:rPr>
                <w:b/>
                <w:sz w:val="20"/>
                <w:szCs w:val="20"/>
              </w:rPr>
            </w:pPr>
            <w:r w:rsidRPr="009F4EEC">
              <w:rPr>
                <w:b/>
                <w:sz w:val="20"/>
                <w:szCs w:val="20"/>
              </w:rPr>
              <w:t xml:space="preserve">Once your firm has been granted </w:t>
            </w:r>
            <w:proofErr w:type="spellStart"/>
            <w:r w:rsidRPr="009F4EEC">
              <w:rPr>
                <w:b/>
                <w:sz w:val="20"/>
                <w:szCs w:val="20"/>
              </w:rPr>
              <w:t>Coverholder</w:t>
            </w:r>
            <w:proofErr w:type="spellEnd"/>
            <w:r w:rsidRPr="009F4EEC">
              <w:rPr>
                <w:b/>
                <w:sz w:val="20"/>
                <w:szCs w:val="20"/>
              </w:rPr>
              <w:t xml:space="preserve"> </w:t>
            </w:r>
            <w:r w:rsidR="004422E5">
              <w:rPr>
                <w:b/>
                <w:sz w:val="20"/>
                <w:szCs w:val="20"/>
              </w:rPr>
              <w:t xml:space="preserve">Extension </w:t>
            </w:r>
            <w:r w:rsidRPr="009F4EEC">
              <w:rPr>
                <w:b/>
                <w:sz w:val="20"/>
                <w:szCs w:val="20"/>
              </w:rPr>
              <w:t>status, you are required to complete the aforementioned on-line training modules</w:t>
            </w:r>
            <w:r w:rsidR="002E43EF">
              <w:rPr>
                <w:b/>
                <w:sz w:val="20"/>
                <w:szCs w:val="20"/>
              </w:rPr>
              <w:t>.</w:t>
            </w:r>
            <w:r w:rsidRPr="009F4EEC">
              <w:rPr>
                <w:b/>
                <w:sz w:val="20"/>
                <w:szCs w:val="20"/>
              </w:rPr>
              <w:t xml:space="preserve"> </w:t>
            </w:r>
          </w:p>
          <w:p w:rsidR="00F1088D" w:rsidRPr="009F4EEC" w:rsidRDefault="00F1088D" w:rsidP="00943443">
            <w:pPr>
              <w:ind w:left="885"/>
              <w:rPr>
                <w:b/>
                <w:sz w:val="20"/>
                <w:szCs w:val="20"/>
              </w:rPr>
            </w:pPr>
          </w:p>
          <w:p w:rsidR="00943443" w:rsidRPr="009F4EEC" w:rsidRDefault="00943443" w:rsidP="00943443">
            <w:pPr>
              <w:ind w:left="885"/>
              <w:rPr>
                <w:sz w:val="20"/>
                <w:szCs w:val="20"/>
              </w:rPr>
            </w:pPr>
            <w:r w:rsidRPr="009F4EEC">
              <w:rPr>
                <w:sz w:val="20"/>
                <w:szCs w:val="20"/>
              </w:rPr>
              <w:t>Should you have any questions, please contact your L</w:t>
            </w:r>
            <w:r w:rsidR="00BD0659">
              <w:rPr>
                <w:sz w:val="20"/>
                <w:szCs w:val="20"/>
              </w:rPr>
              <w:t>loyd’s Broker or the concerned U</w:t>
            </w:r>
            <w:r w:rsidRPr="009F4EEC">
              <w:rPr>
                <w:sz w:val="20"/>
                <w:szCs w:val="20"/>
              </w:rPr>
              <w:t xml:space="preserve">nderwriter/Managing Agent.  </w:t>
            </w:r>
          </w:p>
          <w:p w:rsidR="00943443" w:rsidRPr="00311A98" w:rsidRDefault="00943443" w:rsidP="00F9157F">
            <w:pPr>
              <w:rPr>
                <w:sz w:val="20"/>
                <w:szCs w:val="20"/>
              </w:rPr>
            </w:pPr>
          </w:p>
        </w:tc>
      </w:tr>
      <w:tr w:rsidR="000D0C62" w:rsidRPr="00D013F5" w:rsidTr="00F9157F">
        <w:trPr>
          <w:trHeight w:val="241"/>
        </w:trPr>
        <w:tc>
          <w:tcPr>
            <w:tcW w:w="10915" w:type="dxa"/>
            <w:tcBorders>
              <w:top w:val="single" w:sz="4" w:space="0" w:color="auto"/>
              <w:left w:val="nil"/>
              <w:bottom w:val="nil"/>
              <w:right w:val="nil"/>
            </w:tcBorders>
            <w:shd w:val="clear" w:color="auto" w:fill="auto"/>
            <w:vAlign w:val="center"/>
          </w:tcPr>
          <w:p w:rsidR="000D0C62" w:rsidRPr="00311A98" w:rsidRDefault="000D0C62" w:rsidP="00F9157F">
            <w:pPr>
              <w:rPr>
                <w:sz w:val="20"/>
                <w:szCs w:val="20"/>
              </w:rPr>
            </w:pPr>
          </w:p>
        </w:tc>
      </w:tr>
      <w:tr w:rsidR="000D0C62" w:rsidRPr="00D013F5" w:rsidTr="00F9157F">
        <w:trPr>
          <w:trHeight w:val="241"/>
        </w:trPr>
        <w:tc>
          <w:tcPr>
            <w:tcW w:w="10915" w:type="dxa"/>
            <w:tcBorders>
              <w:top w:val="nil"/>
              <w:left w:val="nil"/>
              <w:bottom w:val="single" w:sz="4" w:space="0" w:color="auto"/>
              <w:right w:val="nil"/>
            </w:tcBorders>
            <w:shd w:val="clear" w:color="auto" w:fill="auto"/>
            <w:vAlign w:val="center"/>
          </w:tcPr>
          <w:p w:rsidR="000D0C62" w:rsidRPr="009F4EEC" w:rsidRDefault="000D0C62" w:rsidP="000D0C62">
            <w:pPr>
              <w:pStyle w:val="ListParagraph"/>
              <w:numPr>
                <w:ilvl w:val="0"/>
                <w:numId w:val="9"/>
              </w:numPr>
              <w:tabs>
                <w:tab w:val="left" w:pos="900"/>
              </w:tabs>
              <w:ind w:left="459" w:hanging="425"/>
              <w:rPr>
                <w:rFonts w:ascii="Arial" w:hAnsi="Arial" w:cs="Arial"/>
                <w:sz w:val="20"/>
                <w:szCs w:val="20"/>
              </w:rPr>
            </w:pPr>
            <w:r w:rsidRPr="009F4EEC">
              <w:rPr>
                <w:rFonts w:ascii="Arial" w:hAnsi="Arial" w:cs="Arial"/>
                <w:sz w:val="20"/>
                <w:szCs w:val="20"/>
              </w:rPr>
              <w:t xml:space="preserve">It is mandatory for your firm to comply with the </w:t>
            </w:r>
            <w:hyperlink r:id="rId17" w:history="1">
              <w:r w:rsidR="00033D8E">
                <w:rPr>
                  <w:rStyle w:val="Hyperlink"/>
                  <w:rFonts w:ascii="Arial" w:hAnsi="Arial" w:cs="Arial"/>
                  <w:sz w:val="20"/>
                  <w:szCs w:val="20"/>
                </w:rPr>
                <w:t>Canada – Regulatory Reporting Requirements Table</w:t>
              </w:r>
            </w:hyperlink>
            <w:r w:rsidR="00033D8E">
              <w:rPr>
                <w:rFonts w:ascii="Arial" w:hAnsi="Arial" w:cs="Arial"/>
                <w:sz w:val="20"/>
                <w:szCs w:val="20"/>
              </w:rPr>
              <w:t>.</w:t>
            </w:r>
            <w:r w:rsidRPr="009F4EEC">
              <w:rPr>
                <w:rFonts w:ascii="Arial" w:hAnsi="Arial" w:cs="Arial"/>
                <w:sz w:val="20"/>
                <w:szCs w:val="20"/>
              </w:rPr>
              <w:t xml:space="preserve">  </w:t>
            </w:r>
          </w:p>
          <w:p w:rsidR="000D0C62" w:rsidRPr="000D0C62" w:rsidRDefault="000D0C62" w:rsidP="00F9157F">
            <w:pPr>
              <w:rPr>
                <w:sz w:val="20"/>
                <w:szCs w:val="20"/>
                <w:lang w:val="en-CA"/>
              </w:rPr>
            </w:pPr>
          </w:p>
        </w:tc>
      </w:tr>
      <w:tr w:rsidR="00E866F2" w:rsidRPr="00311A98" w:rsidTr="00F9157F">
        <w:trPr>
          <w:trHeight w:val="241"/>
        </w:trPr>
        <w:tc>
          <w:tcPr>
            <w:tcW w:w="10915" w:type="dxa"/>
            <w:tcBorders>
              <w:top w:val="single" w:sz="4" w:space="0" w:color="auto"/>
              <w:left w:val="nil"/>
              <w:bottom w:val="nil"/>
              <w:right w:val="nil"/>
            </w:tcBorders>
            <w:shd w:val="clear" w:color="auto" w:fill="auto"/>
            <w:vAlign w:val="center"/>
          </w:tcPr>
          <w:p w:rsidR="00E866F2" w:rsidRPr="00311A98" w:rsidRDefault="00E866F2" w:rsidP="00F9157F">
            <w:pPr>
              <w:rPr>
                <w:sz w:val="20"/>
                <w:szCs w:val="20"/>
              </w:rPr>
            </w:pPr>
          </w:p>
        </w:tc>
      </w:tr>
      <w:tr w:rsidR="00E866F2" w:rsidRPr="000D0C62" w:rsidTr="00F9157F">
        <w:trPr>
          <w:trHeight w:val="241"/>
        </w:trPr>
        <w:tc>
          <w:tcPr>
            <w:tcW w:w="10915" w:type="dxa"/>
            <w:tcBorders>
              <w:top w:val="nil"/>
              <w:left w:val="nil"/>
              <w:bottom w:val="single" w:sz="4" w:space="0" w:color="auto"/>
              <w:right w:val="nil"/>
            </w:tcBorders>
            <w:shd w:val="clear" w:color="auto" w:fill="auto"/>
            <w:vAlign w:val="center"/>
          </w:tcPr>
          <w:p w:rsidR="00E866F2" w:rsidRPr="009F4EEC" w:rsidRDefault="00F1088D" w:rsidP="00E866F2">
            <w:pPr>
              <w:pStyle w:val="ListParagraph"/>
              <w:numPr>
                <w:ilvl w:val="0"/>
                <w:numId w:val="9"/>
              </w:numPr>
              <w:tabs>
                <w:tab w:val="left" w:pos="900"/>
              </w:tabs>
              <w:ind w:left="459" w:hanging="425"/>
              <w:rPr>
                <w:rFonts w:ascii="Arial" w:hAnsi="Arial" w:cs="Arial"/>
                <w:sz w:val="20"/>
                <w:szCs w:val="20"/>
              </w:rPr>
            </w:pPr>
            <w:r>
              <w:rPr>
                <w:rFonts w:ascii="Arial" w:hAnsi="Arial" w:cs="Arial"/>
                <w:sz w:val="20"/>
                <w:szCs w:val="20"/>
              </w:rPr>
              <w:t xml:space="preserve">Canada’s </w:t>
            </w:r>
            <w:r w:rsidR="00E866F2" w:rsidRPr="009F4EEC">
              <w:rPr>
                <w:rFonts w:ascii="Arial" w:hAnsi="Arial" w:cs="Arial"/>
                <w:sz w:val="20"/>
                <w:szCs w:val="20"/>
              </w:rPr>
              <w:t xml:space="preserve">Anti-Spam </w:t>
            </w:r>
            <w:r w:rsidR="00666154">
              <w:rPr>
                <w:rFonts w:ascii="Arial" w:hAnsi="Arial" w:cs="Arial"/>
                <w:sz w:val="20"/>
                <w:szCs w:val="20"/>
              </w:rPr>
              <w:t>Legislation</w:t>
            </w:r>
            <w:r>
              <w:rPr>
                <w:rFonts w:ascii="Arial" w:hAnsi="Arial" w:cs="Arial"/>
                <w:sz w:val="20"/>
                <w:szCs w:val="20"/>
              </w:rPr>
              <w:t xml:space="preserve"> (</w:t>
            </w:r>
            <w:r w:rsidR="00E866F2" w:rsidRPr="009F4EEC">
              <w:rPr>
                <w:rFonts w:ascii="Arial" w:hAnsi="Arial" w:cs="Arial"/>
                <w:sz w:val="20"/>
                <w:szCs w:val="20"/>
              </w:rPr>
              <w:t>CASL</w:t>
            </w:r>
            <w:r>
              <w:rPr>
                <w:rFonts w:ascii="Arial" w:hAnsi="Arial" w:cs="Arial"/>
                <w:sz w:val="20"/>
                <w:szCs w:val="20"/>
              </w:rPr>
              <w:t>)</w:t>
            </w:r>
            <w:r w:rsidR="00E866F2" w:rsidRPr="009F4EEC">
              <w:rPr>
                <w:rFonts w:ascii="Arial" w:hAnsi="Arial" w:cs="Arial"/>
                <w:sz w:val="20"/>
                <w:szCs w:val="20"/>
              </w:rPr>
              <w:t>: You are familiar and compliant with the regulation effective July 1</w:t>
            </w:r>
            <w:r w:rsidR="00666154">
              <w:rPr>
                <w:rFonts w:ascii="Arial" w:hAnsi="Arial" w:cs="Arial"/>
                <w:sz w:val="20"/>
                <w:szCs w:val="20"/>
              </w:rPr>
              <w:t>,</w:t>
            </w:r>
            <w:r w:rsidR="00E866F2" w:rsidRPr="009F4EEC">
              <w:rPr>
                <w:rFonts w:ascii="Arial" w:hAnsi="Arial" w:cs="Arial"/>
                <w:sz w:val="20"/>
                <w:szCs w:val="20"/>
              </w:rPr>
              <w:t xml:space="preserve"> 2014.</w:t>
            </w:r>
          </w:p>
          <w:p w:rsidR="00E866F2" w:rsidRPr="000D0C62" w:rsidRDefault="00E866F2" w:rsidP="00F9157F">
            <w:pPr>
              <w:rPr>
                <w:sz w:val="20"/>
                <w:szCs w:val="20"/>
                <w:lang w:val="en-CA"/>
              </w:rPr>
            </w:pPr>
          </w:p>
        </w:tc>
      </w:tr>
    </w:tbl>
    <w:p w:rsidR="00F06ADE" w:rsidRDefault="00F06ADE" w:rsidP="008810B4">
      <w:pPr>
        <w:ind w:left="-567"/>
        <w:rPr>
          <w:b/>
          <w:color w:val="000000"/>
          <w:sz w:val="20"/>
          <w:szCs w:val="20"/>
          <w:lang w:val="en-CA"/>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15"/>
      </w:tblGrid>
      <w:tr w:rsidR="008810B4" w:rsidRPr="00D013F5" w:rsidTr="00F9157F">
        <w:trPr>
          <w:trHeight w:val="241"/>
        </w:trPr>
        <w:tc>
          <w:tcPr>
            <w:tcW w:w="10915" w:type="dxa"/>
            <w:tcBorders>
              <w:top w:val="nil"/>
              <w:left w:val="nil"/>
              <w:bottom w:val="nil"/>
              <w:right w:val="nil"/>
            </w:tcBorders>
            <w:shd w:val="clear" w:color="auto" w:fill="6EC9E0"/>
            <w:vAlign w:val="center"/>
          </w:tcPr>
          <w:p w:rsidR="008810B4" w:rsidRPr="00D013F5" w:rsidRDefault="008810B4" w:rsidP="008810B4">
            <w:pPr>
              <w:tabs>
                <w:tab w:val="left" w:pos="4970"/>
                <w:tab w:val="left" w:pos="6480"/>
              </w:tabs>
              <w:spacing w:before="20" w:after="20"/>
              <w:rPr>
                <w:b/>
                <w:sz w:val="20"/>
              </w:rPr>
            </w:pPr>
            <w:r w:rsidRPr="008810B4">
              <w:rPr>
                <w:b/>
                <w:sz w:val="20"/>
                <w:szCs w:val="20"/>
              </w:rPr>
              <w:t xml:space="preserve">For further information, please contact </w:t>
            </w:r>
            <w:hyperlink r:id="rId18" w:history="1">
              <w:r w:rsidRPr="008810B4">
                <w:rPr>
                  <w:rStyle w:val="Hyperlink"/>
                  <w:b/>
                  <w:color w:val="auto"/>
                  <w:sz w:val="20"/>
                  <w:szCs w:val="20"/>
                </w:rPr>
                <w:t>info@lloyds.ca</w:t>
              </w:r>
            </w:hyperlink>
          </w:p>
        </w:tc>
      </w:tr>
    </w:tbl>
    <w:p w:rsidR="008810B4" w:rsidRDefault="008810B4" w:rsidP="00E866F2">
      <w:pPr>
        <w:tabs>
          <w:tab w:val="left" w:pos="900"/>
        </w:tabs>
        <w:ind w:left="-567"/>
        <w:rPr>
          <w:sz w:val="20"/>
          <w:szCs w:val="20"/>
        </w:rPr>
      </w:pPr>
    </w:p>
    <w:p w:rsidR="00966B09" w:rsidRPr="009F4EEC" w:rsidRDefault="005C0CC8" w:rsidP="008810B4">
      <w:pPr>
        <w:pBdr>
          <w:top w:val="single" w:sz="4" w:space="1" w:color="auto"/>
          <w:left w:val="single" w:sz="4" w:space="4" w:color="auto"/>
          <w:bottom w:val="single" w:sz="4" w:space="1" w:color="auto"/>
          <w:right w:val="single" w:sz="4" w:space="4" w:color="auto"/>
        </w:pBdr>
        <w:tabs>
          <w:tab w:val="left" w:pos="900"/>
        </w:tabs>
        <w:ind w:left="-567" w:right="4"/>
        <w:rPr>
          <w:sz w:val="20"/>
          <w:szCs w:val="20"/>
        </w:rPr>
      </w:pPr>
      <w:r w:rsidRPr="009F4EEC">
        <w:rPr>
          <w:sz w:val="20"/>
          <w:szCs w:val="20"/>
        </w:rPr>
        <w:t>I have read and agree to the foregoing.</w:t>
      </w:r>
    </w:p>
    <w:p w:rsidR="00E866F2" w:rsidRDefault="00E866F2" w:rsidP="008810B4">
      <w:pPr>
        <w:pBdr>
          <w:top w:val="single" w:sz="4" w:space="1" w:color="auto"/>
          <w:left w:val="single" w:sz="4" w:space="4" w:color="auto"/>
          <w:bottom w:val="single" w:sz="4" w:space="1" w:color="auto"/>
          <w:right w:val="single" w:sz="4" w:space="4" w:color="auto"/>
        </w:pBdr>
        <w:ind w:left="-567" w:right="4"/>
        <w:rPr>
          <w:sz w:val="20"/>
          <w:szCs w:val="20"/>
        </w:rPr>
      </w:pPr>
    </w:p>
    <w:p w:rsidR="00966B09" w:rsidRPr="005A4B32" w:rsidRDefault="00966B09" w:rsidP="008810B4">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 xml:space="preserve">Signature of Applicant: </w:t>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Pr="005A4B32">
        <w:rPr>
          <w:sz w:val="20"/>
          <w:szCs w:val="20"/>
          <w:u w:val="single"/>
        </w:rPr>
        <w:tab/>
      </w:r>
      <w:r w:rsidR="005A4B32" w:rsidRPr="005A4B32">
        <w:rPr>
          <w:sz w:val="20"/>
          <w:szCs w:val="20"/>
          <w:u w:val="single"/>
        </w:rPr>
        <w:tab/>
      </w:r>
      <w:r w:rsidR="005A4B32">
        <w:rPr>
          <w:sz w:val="20"/>
          <w:szCs w:val="20"/>
        </w:rPr>
        <w:t xml:space="preserve">    </w:t>
      </w:r>
      <w:r w:rsidRPr="009F4EEC">
        <w:rPr>
          <w:sz w:val="20"/>
          <w:szCs w:val="20"/>
        </w:rPr>
        <w:t xml:space="preserve">Date: </w:t>
      </w:r>
      <w:r w:rsidRPr="005A4B32">
        <w:rPr>
          <w:sz w:val="20"/>
          <w:szCs w:val="20"/>
          <w:u w:val="single"/>
        </w:rPr>
        <w:tab/>
      </w:r>
      <w:r w:rsidR="005A4B32" w:rsidRPr="005A4B32">
        <w:rPr>
          <w:sz w:val="20"/>
          <w:szCs w:val="20"/>
          <w:u w:val="single"/>
        </w:rPr>
        <w:tab/>
      </w:r>
      <w:r w:rsidR="005A4B32" w:rsidRPr="005A4B32">
        <w:rPr>
          <w:sz w:val="20"/>
          <w:szCs w:val="20"/>
          <w:u w:val="single"/>
        </w:rPr>
        <w:tab/>
      </w:r>
      <w:r w:rsidRPr="005A4B32">
        <w:rPr>
          <w:sz w:val="20"/>
          <w:szCs w:val="20"/>
          <w:u w:val="single"/>
        </w:rPr>
        <w:tab/>
      </w:r>
    </w:p>
    <w:p w:rsidR="00966B09" w:rsidRPr="009F4EEC" w:rsidRDefault="00966B09" w:rsidP="008810B4">
      <w:pPr>
        <w:pBdr>
          <w:top w:val="single" w:sz="4" w:space="1" w:color="auto"/>
          <w:left w:val="single" w:sz="4" w:space="4" w:color="auto"/>
          <w:bottom w:val="single" w:sz="4" w:space="1" w:color="auto"/>
          <w:right w:val="single" w:sz="4" w:space="4" w:color="auto"/>
        </w:pBdr>
        <w:ind w:left="-567" w:right="4"/>
        <w:rPr>
          <w:sz w:val="20"/>
          <w:szCs w:val="20"/>
        </w:rPr>
      </w:pPr>
    </w:p>
    <w:p w:rsidR="00FE6CD4" w:rsidRPr="008810B4" w:rsidRDefault="00CB2E0B" w:rsidP="008810B4">
      <w:pPr>
        <w:pBdr>
          <w:top w:val="single" w:sz="4" w:space="1" w:color="auto"/>
          <w:left w:val="single" w:sz="4" w:space="4" w:color="auto"/>
          <w:bottom w:val="single" w:sz="4" w:space="1" w:color="auto"/>
          <w:right w:val="single" w:sz="4" w:space="4" w:color="auto"/>
        </w:pBdr>
        <w:ind w:left="-567" w:right="4"/>
        <w:rPr>
          <w:sz w:val="20"/>
          <w:szCs w:val="20"/>
          <w:u w:val="single"/>
        </w:rPr>
      </w:pPr>
      <w:r w:rsidRPr="009F4EEC">
        <w:rPr>
          <w:sz w:val="20"/>
          <w:szCs w:val="20"/>
        </w:rPr>
        <w:t>Please print n</w:t>
      </w:r>
      <w:r w:rsidR="00966B09" w:rsidRPr="009F4EEC">
        <w:rPr>
          <w:sz w:val="20"/>
          <w:szCs w:val="20"/>
        </w:rPr>
        <w:t xml:space="preserve">ame </w:t>
      </w:r>
      <w:r w:rsidR="00F1088D">
        <w:rPr>
          <w:sz w:val="20"/>
          <w:szCs w:val="20"/>
        </w:rPr>
        <w:t xml:space="preserve">and title </w:t>
      </w:r>
      <w:r w:rsidR="00966B09" w:rsidRPr="009F4EEC">
        <w:rPr>
          <w:sz w:val="20"/>
          <w:szCs w:val="20"/>
        </w:rPr>
        <w:t>in block letters:</w:t>
      </w:r>
      <w:r w:rsidR="00966B09" w:rsidRPr="004401DE">
        <w:rPr>
          <w:sz w:val="20"/>
          <w:szCs w:val="20"/>
        </w:rPr>
        <w:t xml:space="preserve"> </w:t>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966B09" w:rsidRPr="005A4B32">
        <w:rPr>
          <w:sz w:val="20"/>
          <w:szCs w:val="20"/>
          <w:u w:val="single"/>
        </w:rPr>
        <w:tab/>
      </w:r>
      <w:r w:rsidR="005A4B32">
        <w:rPr>
          <w:sz w:val="20"/>
          <w:szCs w:val="20"/>
          <w:u w:val="single"/>
        </w:rPr>
        <w:tab/>
      </w:r>
    </w:p>
    <w:sectPr w:rsidR="00FE6CD4" w:rsidRPr="008810B4" w:rsidSect="00F06ADE">
      <w:headerReference w:type="default" r:id="rId19"/>
      <w:footerReference w:type="default" r:id="rId20"/>
      <w:pgSz w:w="12240" w:h="15840" w:code="1"/>
      <w:pgMar w:top="1264" w:right="618" w:bottom="255" w:left="144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DA" w:rsidRDefault="00C72FDA">
      <w:r>
        <w:separator/>
      </w:r>
    </w:p>
  </w:endnote>
  <w:endnote w:type="continuationSeparator" w:id="0">
    <w:p w:rsidR="00C72FDA" w:rsidRDefault="00C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 Lloyds">
    <w:panose1 w:val="02000603040000020004"/>
    <w:charset w:val="00"/>
    <w:family w:val="auto"/>
    <w:pitch w:val="variable"/>
    <w:sig w:usb0="8000002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DE" w:rsidRPr="00485096" w:rsidRDefault="00132F4A" w:rsidP="004422E5">
    <w:pPr>
      <w:pStyle w:val="Footer"/>
      <w:ind w:left="-709"/>
      <w:rPr>
        <w:sz w:val="18"/>
        <w:szCs w:val="18"/>
      </w:rPr>
    </w:pPr>
    <w:r>
      <w:rPr>
        <w:sz w:val="18"/>
        <w:szCs w:val="18"/>
      </w:rPr>
      <w:t>August 2016</w:t>
    </w:r>
  </w:p>
  <w:p w:rsidR="00B707DE" w:rsidRPr="00485096" w:rsidRDefault="00AE385D" w:rsidP="00485096">
    <w:pPr>
      <w:pStyle w:val="Footer"/>
      <w:ind w:left="-709"/>
      <w:rPr>
        <w:sz w:val="18"/>
        <w:szCs w:val="18"/>
      </w:rPr>
    </w:pPr>
    <w:r w:rsidRPr="00AE385D">
      <w:rPr>
        <w:noProof/>
        <w:sz w:val="18"/>
        <w:szCs w:val="18"/>
      </w:rPr>
      <w:t xml:space="preserve">Page </w:t>
    </w:r>
    <w:r w:rsidRPr="00AE385D">
      <w:rPr>
        <w:b/>
        <w:noProof/>
        <w:sz w:val="18"/>
        <w:szCs w:val="18"/>
      </w:rPr>
      <w:fldChar w:fldCharType="begin"/>
    </w:r>
    <w:r w:rsidRPr="00AE385D">
      <w:rPr>
        <w:b/>
        <w:noProof/>
        <w:sz w:val="18"/>
        <w:szCs w:val="18"/>
      </w:rPr>
      <w:instrText xml:space="preserve"> PAGE  \* Arabic  \* MERGEFORMAT </w:instrText>
    </w:r>
    <w:r w:rsidRPr="00AE385D">
      <w:rPr>
        <w:b/>
        <w:noProof/>
        <w:sz w:val="18"/>
        <w:szCs w:val="18"/>
      </w:rPr>
      <w:fldChar w:fldCharType="separate"/>
    </w:r>
    <w:r w:rsidR="00132F4A">
      <w:rPr>
        <w:b/>
        <w:noProof/>
        <w:sz w:val="18"/>
        <w:szCs w:val="18"/>
      </w:rPr>
      <w:t>2</w:t>
    </w:r>
    <w:r w:rsidRPr="00AE385D">
      <w:rPr>
        <w:b/>
        <w:noProof/>
        <w:sz w:val="18"/>
        <w:szCs w:val="18"/>
      </w:rPr>
      <w:fldChar w:fldCharType="end"/>
    </w:r>
    <w:r w:rsidRPr="00AE385D">
      <w:rPr>
        <w:noProof/>
        <w:sz w:val="18"/>
        <w:szCs w:val="18"/>
      </w:rPr>
      <w:t xml:space="preserve"> of </w:t>
    </w:r>
    <w:r w:rsidRPr="00AE385D">
      <w:rPr>
        <w:b/>
        <w:noProof/>
        <w:sz w:val="18"/>
        <w:szCs w:val="18"/>
      </w:rPr>
      <w:fldChar w:fldCharType="begin"/>
    </w:r>
    <w:r w:rsidRPr="00AE385D">
      <w:rPr>
        <w:b/>
        <w:noProof/>
        <w:sz w:val="18"/>
        <w:szCs w:val="18"/>
      </w:rPr>
      <w:instrText xml:space="preserve"> NUMPAGES  \* Arabic  \* MERGEFORMAT </w:instrText>
    </w:r>
    <w:r w:rsidRPr="00AE385D">
      <w:rPr>
        <w:b/>
        <w:noProof/>
        <w:sz w:val="18"/>
        <w:szCs w:val="18"/>
      </w:rPr>
      <w:fldChar w:fldCharType="separate"/>
    </w:r>
    <w:r w:rsidR="00132F4A">
      <w:rPr>
        <w:b/>
        <w:noProof/>
        <w:sz w:val="18"/>
        <w:szCs w:val="18"/>
      </w:rPr>
      <w:t>5</w:t>
    </w:r>
    <w:r w:rsidRPr="00AE385D">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DA" w:rsidRDefault="00C72FDA">
      <w:r>
        <w:separator/>
      </w:r>
    </w:p>
  </w:footnote>
  <w:footnote w:type="continuationSeparator" w:id="0">
    <w:p w:rsidR="00C72FDA" w:rsidRDefault="00C7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61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980"/>
    </w:tblGrid>
    <w:tr w:rsidR="006950F4" w:rsidRPr="00857F39" w:rsidTr="00857F39">
      <w:tc>
        <w:tcPr>
          <w:tcW w:w="10980" w:type="dxa"/>
          <w:tcBorders>
            <w:top w:val="nil"/>
            <w:left w:val="nil"/>
            <w:bottom w:val="nil"/>
            <w:right w:val="nil"/>
          </w:tcBorders>
          <w:shd w:val="clear" w:color="auto" w:fill="6EC9E0"/>
        </w:tcPr>
        <w:p w:rsidR="006950F4" w:rsidRPr="00857F39" w:rsidRDefault="006950F4" w:rsidP="00857F39">
          <w:pPr>
            <w:jc w:val="center"/>
            <w:rPr>
              <w:rFonts w:ascii="Sansa Lloyds" w:hAnsi="Sansa Lloyds"/>
              <w:bCs/>
              <w:smallCaps/>
              <w:sz w:val="32"/>
              <w:szCs w:val="32"/>
            </w:rPr>
          </w:pPr>
          <w:r>
            <w:rPr>
              <w:noProof/>
              <w:sz w:val="32"/>
              <w:szCs w:val="32"/>
              <w:lang w:val="en-CA" w:eastAsia="en-CA"/>
            </w:rPr>
            <w:drawing>
              <wp:anchor distT="0" distB="0" distL="114300" distR="114300" simplePos="0" relativeHeight="251657728" behindDoc="0" locked="0" layoutInCell="1" allowOverlap="1" wp14:anchorId="786A0688" wp14:editId="16897AC8">
                <wp:simplePos x="0" y="0"/>
                <wp:positionH relativeFrom="page">
                  <wp:posOffset>4914900</wp:posOffset>
                </wp:positionH>
                <wp:positionV relativeFrom="page">
                  <wp:posOffset>4445</wp:posOffset>
                </wp:positionV>
                <wp:extent cx="1296035" cy="523240"/>
                <wp:effectExtent l="0" t="0" r="0" b="0"/>
                <wp:wrapNone/>
                <wp:docPr id="2"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0F4" w:rsidRPr="00857F39" w:rsidRDefault="006950F4" w:rsidP="00857F39">
          <w:pPr>
            <w:spacing w:line="440" w:lineRule="exact"/>
            <w:rPr>
              <w:rFonts w:ascii="Sansa Lloyds" w:hAnsi="Sansa Lloyds"/>
              <w:bCs/>
              <w:smallCaps/>
              <w:sz w:val="44"/>
              <w:szCs w:val="44"/>
            </w:rPr>
          </w:pPr>
        </w:p>
        <w:p w:rsidR="006950F4" w:rsidRDefault="006950F4" w:rsidP="00857F39">
          <w:pPr>
            <w:spacing w:line="440" w:lineRule="exact"/>
            <w:rPr>
              <w:rFonts w:ascii="Sansa Lloyds" w:hAnsi="Sansa Lloyds"/>
              <w:b/>
              <w:sz w:val="44"/>
              <w:szCs w:val="44"/>
            </w:rPr>
          </w:pPr>
        </w:p>
        <w:p w:rsidR="006950F4" w:rsidRPr="00625BAB" w:rsidRDefault="006950F4" w:rsidP="00857F39">
          <w:pPr>
            <w:spacing w:line="440" w:lineRule="exact"/>
            <w:rPr>
              <w:rFonts w:ascii="Sansa Lloyds" w:hAnsi="Sansa Lloyds"/>
              <w:b/>
              <w:sz w:val="44"/>
              <w:szCs w:val="44"/>
            </w:rPr>
          </w:pPr>
          <w:proofErr w:type="spellStart"/>
          <w:r w:rsidRPr="00625BAB">
            <w:rPr>
              <w:rFonts w:ascii="Sansa Lloyds" w:hAnsi="Sansa Lloyds"/>
              <w:b/>
              <w:sz w:val="44"/>
              <w:szCs w:val="44"/>
            </w:rPr>
            <w:t>coverholder</w:t>
          </w:r>
          <w:proofErr w:type="spellEnd"/>
          <w:r w:rsidRPr="00625BAB">
            <w:rPr>
              <w:rFonts w:ascii="Sansa Lloyds" w:hAnsi="Sansa Lloyds"/>
              <w:b/>
              <w:sz w:val="44"/>
              <w:szCs w:val="44"/>
            </w:rPr>
            <w:t xml:space="preserve"> </w:t>
          </w:r>
          <w:r w:rsidR="00A54DDF" w:rsidRPr="00625BAB">
            <w:rPr>
              <w:rFonts w:ascii="Sansa Lloyds" w:hAnsi="Sansa Lloyds"/>
              <w:b/>
              <w:sz w:val="44"/>
              <w:szCs w:val="44"/>
            </w:rPr>
            <w:t xml:space="preserve">EXTENSION </w:t>
          </w:r>
          <w:r w:rsidRPr="00625BAB">
            <w:rPr>
              <w:rFonts w:ascii="Sansa Lloyds" w:hAnsi="Sansa Lloyds"/>
              <w:b/>
              <w:sz w:val="44"/>
              <w:szCs w:val="44"/>
            </w:rPr>
            <w:t>questionnaire</w:t>
          </w:r>
        </w:p>
        <w:p w:rsidR="006950F4" w:rsidRPr="00625BAB" w:rsidRDefault="00625BAB" w:rsidP="00857F39">
          <w:pPr>
            <w:spacing w:line="440" w:lineRule="exact"/>
            <w:rPr>
              <w:rFonts w:ascii="Sansa Lloyds" w:hAnsi="Sansa Lloyds"/>
              <w:bCs/>
              <w:smallCaps/>
              <w:color w:val="FFFFFF"/>
              <w:sz w:val="44"/>
              <w:szCs w:val="44"/>
            </w:rPr>
          </w:pPr>
          <w:r>
            <w:rPr>
              <w:rFonts w:ascii="Sansa Lloyds" w:hAnsi="Sansa Lloyds"/>
              <w:bCs/>
              <w:smallCaps/>
              <w:color w:val="FFFFFF"/>
              <w:sz w:val="44"/>
              <w:szCs w:val="44"/>
            </w:rPr>
            <w:t>CANADA</w:t>
          </w:r>
        </w:p>
        <w:p w:rsidR="006950F4" w:rsidRPr="00167938" w:rsidRDefault="006950F4" w:rsidP="00167938">
          <w:pPr>
            <w:spacing w:line="440" w:lineRule="exact"/>
            <w:jc w:val="right"/>
            <w:rPr>
              <w:rFonts w:ascii="Sansa Lloyds" w:hAnsi="Sansa Lloyds"/>
              <w:bCs/>
              <w:smallCaps/>
              <w:color w:val="FFFFFF"/>
            </w:rPr>
          </w:pPr>
        </w:p>
      </w:tc>
    </w:tr>
  </w:tbl>
  <w:p w:rsidR="006950F4" w:rsidRDefault="006950F4" w:rsidP="001573A6">
    <w:pPr>
      <w:pStyle w:val="Heading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2A0"/>
    <w:multiLevelType w:val="hybridMultilevel"/>
    <w:tmpl w:val="2950702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0B2056"/>
    <w:multiLevelType w:val="hybridMultilevel"/>
    <w:tmpl w:val="5524CF50"/>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855184"/>
    <w:multiLevelType w:val="hybridMultilevel"/>
    <w:tmpl w:val="30D4AB3E"/>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AC1523"/>
    <w:multiLevelType w:val="hybridMultilevel"/>
    <w:tmpl w:val="8E027B0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826C68"/>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2D57939"/>
    <w:multiLevelType w:val="hybridMultilevel"/>
    <w:tmpl w:val="7F6CBCBA"/>
    <w:lvl w:ilvl="0" w:tplc="2BE683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9D62E2E"/>
    <w:multiLevelType w:val="hybridMultilevel"/>
    <w:tmpl w:val="ACF0F71E"/>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4854A2"/>
    <w:multiLevelType w:val="hybridMultilevel"/>
    <w:tmpl w:val="FCAACFA6"/>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2326CA7"/>
    <w:multiLevelType w:val="hybridMultilevel"/>
    <w:tmpl w:val="3B32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C0B2FD6"/>
    <w:multiLevelType w:val="hybridMultilevel"/>
    <w:tmpl w:val="2F461CD8"/>
    <w:lvl w:ilvl="0" w:tplc="D0C6F4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84143B"/>
    <w:multiLevelType w:val="hybridMultilevel"/>
    <w:tmpl w:val="80D26254"/>
    <w:lvl w:ilvl="0" w:tplc="F0EE6B14">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0C62A84"/>
    <w:multiLevelType w:val="hybridMultilevel"/>
    <w:tmpl w:val="C67AC8A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5341524"/>
    <w:multiLevelType w:val="hybridMultilevel"/>
    <w:tmpl w:val="8DAEF0AA"/>
    <w:lvl w:ilvl="0" w:tplc="85569A80">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8987B1D"/>
    <w:multiLevelType w:val="hybridMultilevel"/>
    <w:tmpl w:val="3324381C"/>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DFD796C"/>
    <w:multiLevelType w:val="hybridMultilevel"/>
    <w:tmpl w:val="B81A6354"/>
    <w:lvl w:ilvl="0" w:tplc="BFB6616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5B05527"/>
    <w:multiLevelType w:val="hybridMultilevel"/>
    <w:tmpl w:val="8EB8CC4C"/>
    <w:lvl w:ilvl="0" w:tplc="93581C9A">
      <w:start w:val="1"/>
      <w:numFmt w:val="upperLetter"/>
      <w:lvlText w:val="%1)"/>
      <w:lvlJc w:val="left"/>
      <w:pPr>
        <w:ind w:left="-796"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17">
    <w:nsid w:val="6CE72343"/>
    <w:multiLevelType w:val="hybridMultilevel"/>
    <w:tmpl w:val="99F6EE8C"/>
    <w:lvl w:ilvl="0" w:tplc="95D6A5F8">
      <w:numFmt w:val="bullet"/>
      <w:lvlText w:val=""/>
      <w:lvlJc w:val="left"/>
      <w:pPr>
        <w:tabs>
          <w:tab w:val="num" w:pos="432"/>
        </w:tabs>
        <w:ind w:left="432" w:hanging="360"/>
      </w:pPr>
      <w:rPr>
        <w:rFonts w:ascii="Wingdings" w:eastAsia="Times New Roman" w:hAnsi="Wingdings"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72A02940"/>
    <w:multiLevelType w:val="hybridMultilevel"/>
    <w:tmpl w:val="D80E0C6E"/>
    <w:lvl w:ilvl="0" w:tplc="8BDACD9A">
      <w:start w:val="10"/>
      <w:numFmt w:val="decimal"/>
      <w:lvlText w:val="%1."/>
      <w:lvlJc w:val="left"/>
      <w:pPr>
        <w:tabs>
          <w:tab w:val="num" w:pos="360"/>
        </w:tabs>
        <w:ind w:left="360" w:hanging="360"/>
      </w:pPr>
      <w:rPr>
        <w:rFonts w:ascii="Arial" w:hAnsi="Arial" w:cs="Arial" w:hint="default"/>
        <w:sz w:val="20"/>
        <w:szCs w:val="2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9">
    <w:nsid w:val="7DED2F13"/>
    <w:multiLevelType w:val="hybridMultilevel"/>
    <w:tmpl w:val="BB30B486"/>
    <w:lvl w:ilvl="0" w:tplc="1009000F">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4"/>
  </w:num>
  <w:num w:numId="2">
    <w:abstractNumId w:val="8"/>
  </w:num>
  <w:num w:numId="3">
    <w:abstractNumId w:val="4"/>
  </w:num>
  <w:num w:numId="4">
    <w:abstractNumId w:val="17"/>
  </w:num>
  <w:num w:numId="5">
    <w:abstractNumId w:val="16"/>
  </w:num>
  <w:num w:numId="6">
    <w:abstractNumId w:val="6"/>
  </w:num>
  <w:num w:numId="7">
    <w:abstractNumId w:val="5"/>
  </w:num>
  <w:num w:numId="8">
    <w:abstractNumId w:val="10"/>
  </w:num>
  <w:num w:numId="9">
    <w:abstractNumId w:val="15"/>
  </w:num>
  <w:num w:numId="10">
    <w:abstractNumId w:val="9"/>
  </w:num>
  <w:num w:numId="11">
    <w:abstractNumId w:val="7"/>
  </w:num>
  <w:num w:numId="12">
    <w:abstractNumId w:val="0"/>
  </w:num>
  <w:num w:numId="13">
    <w:abstractNumId w:val="11"/>
  </w:num>
  <w:num w:numId="14">
    <w:abstractNumId w:val="1"/>
  </w:num>
  <w:num w:numId="15">
    <w:abstractNumId w:val="3"/>
  </w:num>
  <w:num w:numId="16">
    <w:abstractNumId w:val="2"/>
  </w:num>
  <w:num w:numId="17">
    <w:abstractNumId w:val="13"/>
  </w:num>
  <w:num w:numId="1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70"/>
    <w:rsid w:val="00010DDD"/>
    <w:rsid w:val="00011AF3"/>
    <w:rsid w:val="000139F6"/>
    <w:rsid w:val="00015F93"/>
    <w:rsid w:val="0002379B"/>
    <w:rsid w:val="00024FD8"/>
    <w:rsid w:val="00025850"/>
    <w:rsid w:val="0003027D"/>
    <w:rsid w:val="00030D20"/>
    <w:rsid w:val="00033D8E"/>
    <w:rsid w:val="00037A1B"/>
    <w:rsid w:val="000417AA"/>
    <w:rsid w:val="00043EED"/>
    <w:rsid w:val="000506CD"/>
    <w:rsid w:val="00056EF6"/>
    <w:rsid w:val="00060854"/>
    <w:rsid w:val="00061B16"/>
    <w:rsid w:val="00063B2D"/>
    <w:rsid w:val="00071E2F"/>
    <w:rsid w:val="0008005D"/>
    <w:rsid w:val="000A284D"/>
    <w:rsid w:val="000A5476"/>
    <w:rsid w:val="000A74AD"/>
    <w:rsid w:val="000B1422"/>
    <w:rsid w:val="000B5671"/>
    <w:rsid w:val="000C78EC"/>
    <w:rsid w:val="000D0C62"/>
    <w:rsid w:val="000E3F33"/>
    <w:rsid w:val="000E46B3"/>
    <w:rsid w:val="000F1146"/>
    <w:rsid w:val="001023CC"/>
    <w:rsid w:val="001035BB"/>
    <w:rsid w:val="00107F71"/>
    <w:rsid w:val="00116E94"/>
    <w:rsid w:val="00132F4A"/>
    <w:rsid w:val="00145490"/>
    <w:rsid w:val="001573A6"/>
    <w:rsid w:val="00167938"/>
    <w:rsid w:val="00171C79"/>
    <w:rsid w:val="0018030D"/>
    <w:rsid w:val="00194EA8"/>
    <w:rsid w:val="00197230"/>
    <w:rsid w:val="001A3923"/>
    <w:rsid w:val="001A69C0"/>
    <w:rsid w:val="001B10AE"/>
    <w:rsid w:val="001B7269"/>
    <w:rsid w:val="001E5465"/>
    <w:rsid w:val="001F38D9"/>
    <w:rsid w:val="001F3BC3"/>
    <w:rsid w:val="00202914"/>
    <w:rsid w:val="002156F7"/>
    <w:rsid w:val="002455A1"/>
    <w:rsid w:val="002476A9"/>
    <w:rsid w:val="00257F99"/>
    <w:rsid w:val="00291EC4"/>
    <w:rsid w:val="00297DA0"/>
    <w:rsid w:val="002A10E2"/>
    <w:rsid w:val="002C5096"/>
    <w:rsid w:val="002E0075"/>
    <w:rsid w:val="002E43EF"/>
    <w:rsid w:val="002F318F"/>
    <w:rsid w:val="00303817"/>
    <w:rsid w:val="00305F2F"/>
    <w:rsid w:val="00311A98"/>
    <w:rsid w:val="003353C4"/>
    <w:rsid w:val="003361BE"/>
    <w:rsid w:val="003369F4"/>
    <w:rsid w:val="003406E7"/>
    <w:rsid w:val="00360187"/>
    <w:rsid w:val="00365225"/>
    <w:rsid w:val="003704DA"/>
    <w:rsid w:val="00373B1B"/>
    <w:rsid w:val="00377572"/>
    <w:rsid w:val="00382739"/>
    <w:rsid w:val="00390621"/>
    <w:rsid w:val="003949C5"/>
    <w:rsid w:val="003A5A68"/>
    <w:rsid w:val="003D45F9"/>
    <w:rsid w:val="003E5973"/>
    <w:rsid w:val="0040091E"/>
    <w:rsid w:val="004401DE"/>
    <w:rsid w:val="004422E5"/>
    <w:rsid w:val="004520A9"/>
    <w:rsid w:val="00461958"/>
    <w:rsid w:val="00467470"/>
    <w:rsid w:val="00485096"/>
    <w:rsid w:val="00493CCD"/>
    <w:rsid w:val="004C7B64"/>
    <w:rsid w:val="004D7739"/>
    <w:rsid w:val="005158D9"/>
    <w:rsid w:val="00517339"/>
    <w:rsid w:val="005338FE"/>
    <w:rsid w:val="00546703"/>
    <w:rsid w:val="005548FD"/>
    <w:rsid w:val="00565E58"/>
    <w:rsid w:val="00582577"/>
    <w:rsid w:val="00584A75"/>
    <w:rsid w:val="00592A99"/>
    <w:rsid w:val="00594049"/>
    <w:rsid w:val="005A29C3"/>
    <w:rsid w:val="005A3444"/>
    <w:rsid w:val="005A4740"/>
    <w:rsid w:val="005A4B32"/>
    <w:rsid w:val="005B0171"/>
    <w:rsid w:val="005B6036"/>
    <w:rsid w:val="005C0CC8"/>
    <w:rsid w:val="005C3990"/>
    <w:rsid w:val="005D25D0"/>
    <w:rsid w:val="005D6FE4"/>
    <w:rsid w:val="005E54EA"/>
    <w:rsid w:val="005E6E65"/>
    <w:rsid w:val="005F38F7"/>
    <w:rsid w:val="006255B9"/>
    <w:rsid w:val="00625BAB"/>
    <w:rsid w:val="00632518"/>
    <w:rsid w:val="0063758F"/>
    <w:rsid w:val="00666154"/>
    <w:rsid w:val="00666FB6"/>
    <w:rsid w:val="00670B6F"/>
    <w:rsid w:val="00672B4D"/>
    <w:rsid w:val="006746BC"/>
    <w:rsid w:val="00676B69"/>
    <w:rsid w:val="00681958"/>
    <w:rsid w:val="00683467"/>
    <w:rsid w:val="00690B82"/>
    <w:rsid w:val="00694875"/>
    <w:rsid w:val="006950F4"/>
    <w:rsid w:val="006967BD"/>
    <w:rsid w:val="006A2B8C"/>
    <w:rsid w:val="006B202D"/>
    <w:rsid w:val="006D39E4"/>
    <w:rsid w:val="006D4519"/>
    <w:rsid w:val="006E5B65"/>
    <w:rsid w:val="007104CE"/>
    <w:rsid w:val="00725F1C"/>
    <w:rsid w:val="00730985"/>
    <w:rsid w:val="007501DD"/>
    <w:rsid w:val="00760261"/>
    <w:rsid w:val="0079017F"/>
    <w:rsid w:val="007A0F05"/>
    <w:rsid w:val="007B28BF"/>
    <w:rsid w:val="007B3C76"/>
    <w:rsid w:val="007E107B"/>
    <w:rsid w:val="007F204F"/>
    <w:rsid w:val="007F4870"/>
    <w:rsid w:val="007F6815"/>
    <w:rsid w:val="008009D3"/>
    <w:rsid w:val="008205B0"/>
    <w:rsid w:val="008319DD"/>
    <w:rsid w:val="008417B5"/>
    <w:rsid w:val="00852DC1"/>
    <w:rsid w:val="00857F39"/>
    <w:rsid w:val="00873C4C"/>
    <w:rsid w:val="00873F5F"/>
    <w:rsid w:val="00875AC9"/>
    <w:rsid w:val="00880C5C"/>
    <w:rsid w:val="008810B4"/>
    <w:rsid w:val="008817E5"/>
    <w:rsid w:val="008B3041"/>
    <w:rsid w:val="008C6709"/>
    <w:rsid w:val="008E78E4"/>
    <w:rsid w:val="0090172C"/>
    <w:rsid w:val="00903E52"/>
    <w:rsid w:val="00905A3A"/>
    <w:rsid w:val="00907932"/>
    <w:rsid w:val="009106DB"/>
    <w:rsid w:val="009137EB"/>
    <w:rsid w:val="0091537E"/>
    <w:rsid w:val="00924F4A"/>
    <w:rsid w:val="00943443"/>
    <w:rsid w:val="00957BB8"/>
    <w:rsid w:val="0096342C"/>
    <w:rsid w:val="00966B09"/>
    <w:rsid w:val="0097045D"/>
    <w:rsid w:val="00973E9F"/>
    <w:rsid w:val="00982E61"/>
    <w:rsid w:val="009A0C6E"/>
    <w:rsid w:val="009A4ACF"/>
    <w:rsid w:val="009B3CD3"/>
    <w:rsid w:val="009B5AD1"/>
    <w:rsid w:val="009B5DA4"/>
    <w:rsid w:val="009E294D"/>
    <w:rsid w:val="009F4EEC"/>
    <w:rsid w:val="00A052F0"/>
    <w:rsid w:val="00A055FA"/>
    <w:rsid w:val="00A05B86"/>
    <w:rsid w:val="00A2162A"/>
    <w:rsid w:val="00A423F0"/>
    <w:rsid w:val="00A54DDF"/>
    <w:rsid w:val="00A87E1F"/>
    <w:rsid w:val="00AA2A63"/>
    <w:rsid w:val="00AA2C11"/>
    <w:rsid w:val="00AA2E17"/>
    <w:rsid w:val="00AA4FDC"/>
    <w:rsid w:val="00AB22D8"/>
    <w:rsid w:val="00AB3D23"/>
    <w:rsid w:val="00AB76B4"/>
    <w:rsid w:val="00AB79B2"/>
    <w:rsid w:val="00AC03C4"/>
    <w:rsid w:val="00AC243D"/>
    <w:rsid w:val="00AD5097"/>
    <w:rsid w:val="00AD66D8"/>
    <w:rsid w:val="00AE385D"/>
    <w:rsid w:val="00B00707"/>
    <w:rsid w:val="00B00912"/>
    <w:rsid w:val="00B106A9"/>
    <w:rsid w:val="00B27530"/>
    <w:rsid w:val="00B707DE"/>
    <w:rsid w:val="00B829D3"/>
    <w:rsid w:val="00B92ADB"/>
    <w:rsid w:val="00BB2A8B"/>
    <w:rsid w:val="00BD0659"/>
    <w:rsid w:val="00BD4491"/>
    <w:rsid w:val="00BD5D61"/>
    <w:rsid w:val="00BE337B"/>
    <w:rsid w:val="00C04C9F"/>
    <w:rsid w:val="00C05FDB"/>
    <w:rsid w:val="00C26289"/>
    <w:rsid w:val="00C32A20"/>
    <w:rsid w:val="00C354C7"/>
    <w:rsid w:val="00C40D6D"/>
    <w:rsid w:val="00C72FDA"/>
    <w:rsid w:val="00C82AD4"/>
    <w:rsid w:val="00CA0C2E"/>
    <w:rsid w:val="00CA41D9"/>
    <w:rsid w:val="00CB2E0B"/>
    <w:rsid w:val="00CE1630"/>
    <w:rsid w:val="00CF0B3C"/>
    <w:rsid w:val="00D2251A"/>
    <w:rsid w:val="00D45FB5"/>
    <w:rsid w:val="00D46F31"/>
    <w:rsid w:val="00D53E7F"/>
    <w:rsid w:val="00D90C29"/>
    <w:rsid w:val="00DA7CA2"/>
    <w:rsid w:val="00DB1B27"/>
    <w:rsid w:val="00DD71DC"/>
    <w:rsid w:val="00DE0D30"/>
    <w:rsid w:val="00E04072"/>
    <w:rsid w:val="00E33EDD"/>
    <w:rsid w:val="00E45453"/>
    <w:rsid w:val="00E534E1"/>
    <w:rsid w:val="00E82097"/>
    <w:rsid w:val="00E84097"/>
    <w:rsid w:val="00E8445C"/>
    <w:rsid w:val="00E85182"/>
    <w:rsid w:val="00E866F2"/>
    <w:rsid w:val="00E962AA"/>
    <w:rsid w:val="00EE6598"/>
    <w:rsid w:val="00EE6D78"/>
    <w:rsid w:val="00EF06D8"/>
    <w:rsid w:val="00EF22CA"/>
    <w:rsid w:val="00EF2462"/>
    <w:rsid w:val="00F05998"/>
    <w:rsid w:val="00F06ADE"/>
    <w:rsid w:val="00F07451"/>
    <w:rsid w:val="00F1088D"/>
    <w:rsid w:val="00F16A87"/>
    <w:rsid w:val="00F20574"/>
    <w:rsid w:val="00F224F9"/>
    <w:rsid w:val="00F23046"/>
    <w:rsid w:val="00F35734"/>
    <w:rsid w:val="00F4155A"/>
    <w:rsid w:val="00F622BD"/>
    <w:rsid w:val="00F928CE"/>
    <w:rsid w:val="00FB18C1"/>
    <w:rsid w:val="00FB464F"/>
    <w:rsid w:val="00FB5905"/>
    <w:rsid w:val="00FD2DB0"/>
    <w:rsid w:val="00FD413B"/>
    <w:rsid w:val="00FE6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09"/>
    <w:rPr>
      <w:rFonts w:ascii="Arial" w:hAnsi="Arial" w:cs="Arial"/>
      <w:sz w:val="24"/>
      <w:szCs w:val="24"/>
      <w:lang w:val="en-US" w:eastAsia="en-US"/>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basedOn w:val="DefaultParagraphFont"/>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99"/>
    <w:qFormat/>
    <w:rsid w:val="00982E61"/>
    <w:pPr>
      <w:ind w:left="720"/>
      <w:contextualSpacing/>
    </w:pPr>
    <w:rPr>
      <w:rFonts w:ascii="Times New Roman" w:hAnsi="Times New Roman" w:cs="Times New Roman"/>
      <w:lang w:val="en-CA" w:eastAsia="en-CA"/>
    </w:rPr>
  </w:style>
  <w:style w:type="character" w:styleId="CommentReference">
    <w:name w:val="annotation reference"/>
    <w:basedOn w:val="DefaultParagraphFont"/>
    <w:rsid w:val="003D45F9"/>
    <w:rPr>
      <w:sz w:val="16"/>
      <w:szCs w:val="16"/>
    </w:rPr>
  </w:style>
  <w:style w:type="paragraph" w:styleId="CommentText">
    <w:name w:val="annotation text"/>
    <w:basedOn w:val="Normal"/>
    <w:link w:val="CommentTextChar"/>
    <w:rsid w:val="003D45F9"/>
    <w:rPr>
      <w:sz w:val="20"/>
      <w:szCs w:val="20"/>
    </w:rPr>
  </w:style>
  <w:style w:type="character" w:customStyle="1" w:styleId="CommentTextChar">
    <w:name w:val="Comment Text Char"/>
    <w:basedOn w:val="DefaultParagraphFont"/>
    <w:link w:val="CommentText"/>
    <w:rsid w:val="003D45F9"/>
    <w:rPr>
      <w:rFonts w:ascii="Arial" w:hAnsi="Arial" w:cs="Arial"/>
      <w:lang w:val="en-US" w:eastAsia="en-US"/>
    </w:rPr>
  </w:style>
  <w:style w:type="paragraph" w:styleId="CommentSubject">
    <w:name w:val="annotation subject"/>
    <w:basedOn w:val="CommentText"/>
    <w:next w:val="CommentText"/>
    <w:link w:val="CommentSubjectChar"/>
    <w:rsid w:val="003D45F9"/>
    <w:rPr>
      <w:b/>
      <w:bCs/>
    </w:rPr>
  </w:style>
  <w:style w:type="character" w:customStyle="1" w:styleId="CommentSubjectChar">
    <w:name w:val="Comment Subject Char"/>
    <w:basedOn w:val="CommentTextChar"/>
    <w:link w:val="CommentSubject"/>
    <w:rsid w:val="003D45F9"/>
    <w:rPr>
      <w:rFonts w:ascii="Arial" w:hAnsi="Arial" w:cs="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09"/>
    <w:rPr>
      <w:rFonts w:ascii="Arial" w:hAnsi="Arial" w:cs="Arial"/>
      <w:sz w:val="24"/>
      <w:szCs w:val="24"/>
      <w:lang w:val="en-US" w:eastAsia="en-US"/>
    </w:rPr>
  </w:style>
  <w:style w:type="paragraph" w:styleId="Heading1">
    <w:name w:val="heading 1"/>
    <w:basedOn w:val="Normal"/>
    <w:next w:val="Normal"/>
    <w:qFormat/>
    <w:pPr>
      <w:keepNext/>
      <w:outlineLvl w:val="0"/>
    </w:pPr>
    <w:rPr>
      <w:rFonts w:ascii="Verdana" w:hAnsi="Verdana"/>
      <w:sz w:val="18"/>
      <w:u w:val="single"/>
    </w:rPr>
  </w:style>
  <w:style w:type="paragraph" w:styleId="Heading2">
    <w:name w:val="heading 2"/>
    <w:basedOn w:val="Normal"/>
    <w:next w:val="Normal"/>
    <w:qFormat/>
    <w:pPr>
      <w:keepNext/>
      <w:outlineLvl w:val="1"/>
    </w:pPr>
    <w:rPr>
      <w:rFonts w:ascii="Verdana" w:hAnsi="Verdana"/>
      <w:b/>
      <w:bCs/>
      <w:sz w:val="18"/>
    </w:rPr>
  </w:style>
  <w:style w:type="paragraph" w:styleId="Heading3">
    <w:name w:val="heading 3"/>
    <w:basedOn w:val="Normal"/>
    <w:next w:val="Normal"/>
    <w:qFormat/>
    <w:pPr>
      <w:keepNext/>
      <w:jc w:val="center"/>
      <w:outlineLvl w:val="2"/>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rFonts w:ascii="Verdana" w:hAnsi="Verdan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D5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0D20"/>
    <w:rPr>
      <w:rFonts w:ascii="Tahoma" w:hAnsi="Tahoma" w:cs="Tahoma"/>
      <w:sz w:val="16"/>
      <w:szCs w:val="16"/>
    </w:rPr>
  </w:style>
  <w:style w:type="character" w:styleId="FollowedHyperlink">
    <w:name w:val="FollowedHyperlink"/>
    <w:rsid w:val="00730985"/>
    <w:rPr>
      <w:color w:val="800080"/>
      <w:u w:val="single"/>
    </w:rPr>
  </w:style>
  <w:style w:type="character" w:customStyle="1" w:styleId="FooterChar">
    <w:name w:val="Footer Char"/>
    <w:link w:val="Footer"/>
    <w:uiPriority w:val="99"/>
    <w:rsid w:val="000A74AD"/>
    <w:rPr>
      <w:rFonts w:ascii="Arial" w:hAnsi="Arial" w:cs="Arial"/>
      <w:sz w:val="24"/>
      <w:szCs w:val="24"/>
      <w:lang w:val="en-US" w:eastAsia="en-US"/>
    </w:rPr>
  </w:style>
  <w:style w:type="character" w:styleId="Strong">
    <w:name w:val="Strong"/>
    <w:basedOn w:val="DefaultParagraphFont"/>
    <w:uiPriority w:val="22"/>
    <w:qFormat/>
    <w:rsid w:val="00982E61"/>
    <w:rPr>
      <w:rFonts w:cs="Times New Roman"/>
      <w:b/>
      <w:bCs/>
    </w:rPr>
  </w:style>
  <w:style w:type="paragraph" w:styleId="NormalWeb">
    <w:name w:val="Normal (Web)"/>
    <w:basedOn w:val="Normal"/>
    <w:uiPriority w:val="99"/>
    <w:unhideWhenUsed/>
    <w:rsid w:val="00982E61"/>
    <w:pPr>
      <w:spacing w:before="150" w:after="150"/>
    </w:pPr>
    <w:rPr>
      <w:rFonts w:ascii="Times New Roman" w:hAnsi="Times New Roman" w:cs="Times New Roman"/>
      <w:sz w:val="18"/>
      <w:szCs w:val="18"/>
    </w:rPr>
  </w:style>
  <w:style w:type="paragraph" w:styleId="ListParagraph">
    <w:name w:val="List Paragraph"/>
    <w:basedOn w:val="Normal"/>
    <w:uiPriority w:val="99"/>
    <w:qFormat/>
    <w:rsid w:val="00982E61"/>
    <w:pPr>
      <w:ind w:left="720"/>
      <w:contextualSpacing/>
    </w:pPr>
    <w:rPr>
      <w:rFonts w:ascii="Times New Roman" w:hAnsi="Times New Roman" w:cs="Times New Roman"/>
      <w:lang w:val="en-CA" w:eastAsia="en-CA"/>
    </w:rPr>
  </w:style>
  <w:style w:type="character" w:styleId="CommentReference">
    <w:name w:val="annotation reference"/>
    <w:basedOn w:val="DefaultParagraphFont"/>
    <w:rsid w:val="003D45F9"/>
    <w:rPr>
      <w:sz w:val="16"/>
      <w:szCs w:val="16"/>
    </w:rPr>
  </w:style>
  <w:style w:type="paragraph" w:styleId="CommentText">
    <w:name w:val="annotation text"/>
    <w:basedOn w:val="Normal"/>
    <w:link w:val="CommentTextChar"/>
    <w:rsid w:val="003D45F9"/>
    <w:rPr>
      <w:sz w:val="20"/>
      <w:szCs w:val="20"/>
    </w:rPr>
  </w:style>
  <w:style w:type="character" w:customStyle="1" w:styleId="CommentTextChar">
    <w:name w:val="Comment Text Char"/>
    <w:basedOn w:val="DefaultParagraphFont"/>
    <w:link w:val="CommentText"/>
    <w:rsid w:val="003D45F9"/>
    <w:rPr>
      <w:rFonts w:ascii="Arial" w:hAnsi="Arial" w:cs="Arial"/>
      <w:lang w:val="en-US" w:eastAsia="en-US"/>
    </w:rPr>
  </w:style>
  <w:style w:type="paragraph" w:styleId="CommentSubject">
    <w:name w:val="annotation subject"/>
    <w:basedOn w:val="CommentText"/>
    <w:next w:val="CommentText"/>
    <w:link w:val="CommentSubjectChar"/>
    <w:rsid w:val="003D45F9"/>
    <w:rPr>
      <w:b/>
      <w:bCs/>
    </w:rPr>
  </w:style>
  <w:style w:type="character" w:customStyle="1" w:styleId="CommentSubjectChar">
    <w:name w:val="Comment Subject Char"/>
    <w:basedOn w:val="CommentTextChar"/>
    <w:link w:val="CommentSubject"/>
    <w:rsid w:val="003D45F9"/>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320">
      <w:bodyDiv w:val="1"/>
      <w:marLeft w:val="0"/>
      <w:marRight w:val="0"/>
      <w:marTop w:val="0"/>
      <w:marBottom w:val="0"/>
      <w:divBdr>
        <w:top w:val="none" w:sz="0" w:space="0" w:color="auto"/>
        <w:left w:val="none" w:sz="0" w:space="0" w:color="auto"/>
        <w:bottom w:val="none" w:sz="0" w:space="0" w:color="auto"/>
        <w:right w:val="none" w:sz="0" w:space="0" w:color="auto"/>
      </w:divBdr>
    </w:div>
    <w:div w:id="304313990">
      <w:bodyDiv w:val="1"/>
      <w:marLeft w:val="0"/>
      <w:marRight w:val="0"/>
      <w:marTop w:val="0"/>
      <w:marBottom w:val="0"/>
      <w:divBdr>
        <w:top w:val="none" w:sz="0" w:space="0" w:color="auto"/>
        <w:left w:val="none" w:sz="0" w:space="0" w:color="auto"/>
        <w:bottom w:val="none" w:sz="0" w:space="0" w:color="auto"/>
        <w:right w:val="none" w:sz="0" w:space="0" w:color="auto"/>
      </w:divBdr>
    </w:div>
    <w:div w:id="400450202">
      <w:bodyDiv w:val="1"/>
      <w:marLeft w:val="0"/>
      <w:marRight w:val="0"/>
      <w:marTop w:val="0"/>
      <w:marBottom w:val="0"/>
      <w:divBdr>
        <w:top w:val="none" w:sz="0" w:space="0" w:color="auto"/>
        <w:left w:val="none" w:sz="0" w:space="0" w:color="auto"/>
        <w:bottom w:val="none" w:sz="0" w:space="0" w:color="auto"/>
        <w:right w:val="none" w:sz="0" w:space="0" w:color="auto"/>
      </w:divBdr>
    </w:div>
    <w:div w:id="627248332">
      <w:bodyDiv w:val="1"/>
      <w:marLeft w:val="0"/>
      <w:marRight w:val="0"/>
      <w:marTop w:val="0"/>
      <w:marBottom w:val="0"/>
      <w:divBdr>
        <w:top w:val="none" w:sz="0" w:space="0" w:color="auto"/>
        <w:left w:val="none" w:sz="0" w:space="0" w:color="auto"/>
        <w:bottom w:val="none" w:sz="0" w:space="0" w:color="auto"/>
        <w:right w:val="none" w:sz="0" w:space="0" w:color="auto"/>
      </w:divBdr>
    </w:div>
    <w:div w:id="632713460">
      <w:bodyDiv w:val="1"/>
      <w:marLeft w:val="0"/>
      <w:marRight w:val="0"/>
      <w:marTop w:val="0"/>
      <w:marBottom w:val="0"/>
      <w:divBdr>
        <w:top w:val="none" w:sz="0" w:space="0" w:color="auto"/>
        <w:left w:val="none" w:sz="0" w:space="0" w:color="auto"/>
        <w:bottom w:val="none" w:sz="0" w:space="0" w:color="auto"/>
        <w:right w:val="none" w:sz="0" w:space="0" w:color="auto"/>
      </w:divBdr>
    </w:div>
    <w:div w:id="7048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oyds.com/~/media/Files/Lloyds/Offices/Canada/Canada%20Market%20Conduct/Rules%20and%20Regs/Policyholders%20Complaint%20Protocol%20%20LSW%201542E.pdf" TargetMode="External"/><Relationship Id="rId18" Type="http://schemas.openxmlformats.org/officeDocument/2006/relationships/hyperlink" Target="file:///C:/NATHALIE/info@lloyds.c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lloyds.ca" TargetMode="External"/><Relationship Id="rId17" Type="http://schemas.openxmlformats.org/officeDocument/2006/relationships/hyperlink" Target="http://www.lloyds.com/lloyds/offices/americas/canada/market-conduc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lloyds.com/the-market/communications/regulatory-communications-homepage/regulatory-communications/regulatory-news-articles/2012/05/coverholders-financial-crime-prevention-through-e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nadianaif@lloyds.com"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lloyds.com/the-market/tools-and-resources/tools-e-services/crystal" TargetMode="External"/><Relationship Id="rId23" Type="http://schemas.openxmlformats.org/officeDocument/2006/relationships/customXml" Target="../customXml/item2.xml"/><Relationship Id="rId10" Type="http://schemas.openxmlformats.org/officeDocument/2006/relationships/hyperlink" Target="http://www.lloyds.com/~/media/files/the%20market/i%20am%20a/omc/2009/canadareinsurancebrokerundertakingdec09_doc.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loyds.com/the-market/tools-and-resources/tools-e-services/crystal" TargetMode="External"/><Relationship Id="rId14" Type="http://schemas.openxmlformats.org/officeDocument/2006/relationships/hyperlink" Target="mailto:info@lloyds.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5671C6A74E1B40BF7623C1CB10B8ED" ma:contentTypeVersion="19" ma:contentTypeDescription="Create a new document." ma:contentTypeScope="" ma:versionID="f160ff37b91e405a6d54d260f751cedb">
  <xsd:schema xmlns:xsd="http://www.w3.org/2001/XMLSchema" xmlns:xs="http://www.w3.org/2001/XMLSchema" xmlns:p="http://schemas.microsoft.com/office/2006/metadata/properties" xmlns:ns1="http://schemas.microsoft.com/sharepoint/v3" xmlns:ns2="de14ec6f-ceae-4acb-b820-523fee4dab9f" xmlns:ns3="7d8e31f2-82f3-489e-88b1-e82f19e16bd3" targetNamespace="http://schemas.microsoft.com/office/2006/metadata/properties" ma:root="true" ma:fieldsID="85c31f8b842da7ac74263fe691c06f1d" ns1:_="" ns2:_="" ns3:_="">
    <xsd:import namespace="http://schemas.microsoft.com/sharepoint/v3"/>
    <xsd:import namespace="de14ec6f-ceae-4acb-b820-523fee4dab9f"/>
    <xsd:import namespace="7d8e31f2-82f3-489e-88b1-e82f19e16bd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4ec6f-ceae-4acb-b820-523fee4dab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e31f2-82f3-489e-88b1-e82f19e16b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PersistId xmlns="de14ec6f-ceae-4acb-b820-523fee4dab9f" xsi:nil="true"/>
    <_dlc_DocId xmlns="de14ec6f-ceae-4acb-b820-523fee4dab9f">6UEMXZCCVNV2-167421580-5325</_dlc_DocId>
    <_dlc_DocIdUrl xmlns="de14ec6f-ceae-4acb-b820-523fee4dab9f">
      <Url>https://lloydsoflondon.sharepoint.com/sites/daint/_layouts/15/DocIdRedir.aspx?ID=6UEMXZCCVNV2-167421580-5325</Url>
      <Description>6UEMXZCCVNV2-167421580-5325</Description>
    </_dlc_DocIdUrl>
  </documentManagement>
</p:properties>
</file>

<file path=customXml/itemProps1.xml><?xml version="1.0" encoding="utf-8"?>
<ds:datastoreItem xmlns:ds="http://schemas.openxmlformats.org/officeDocument/2006/customXml" ds:itemID="{3F6BB6DC-F3EA-4D11-AECD-191823E3A650}">
  <ds:schemaRefs>
    <ds:schemaRef ds:uri="http://schemas.openxmlformats.org/officeDocument/2006/bibliography"/>
  </ds:schemaRefs>
</ds:datastoreItem>
</file>

<file path=customXml/itemProps2.xml><?xml version="1.0" encoding="utf-8"?>
<ds:datastoreItem xmlns:ds="http://schemas.openxmlformats.org/officeDocument/2006/customXml" ds:itemID="{E13D2746-BDC7-4243-8432-D178B22C35C9}"/>
</file>

<file path=customXml/itemProps3.xml><?xml version="1.0" encoding="utf-8"?>
<ds:datastoreItem xmlns:ds="http://schemas.openxmlformats.org/officeDocument/2006/customXml" ds:itemID="{7C431ECA-7255-40AD-8061-041637ADA310}"/>
</file>

<file path=customXml/itemProps4.xml><?xml version="1.0" encoding="utf-8"?>
<ds:datastoreItem xmlns:ds="http://schemas.openxmlformats.org/officeDocument/2006/customXml" ds:itemID="{FE204A7B-72BF-4540-A841-23673B6D9635}"/>
</file>

<file path=customXml/itemProps5.xml><?xml version="1.0" encoding="utf-8"?>
<ds:datastoreItem xmlns:ds="http://schemas.openxmlformats.org/officeDocument/2006/customXml" ds:itemID="{EA5E45D3-07CA-424E-B2B5-F37CC83F0B49}"/>
</file>

<file path=docProps/app.xml><?xml version="1.0" encoding="utf-8"?>
<Properties xmlns="http://schemas.openxmlformats.org/officeDocument/2006/extended-properties" xmlns:vt="http://schemas.openxmlformats.org/officeDocument/2006/docPropsVTypes">
  <Template>D8666E1A.dotm</Template>
  <TotalTime>4</TotalTime>
  <Pages>5</Pages>
  <Words>1286</Words>
  <Characters>9026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Lloyd’s Canada – Scheme Canada</vt:lpstr>
    </vt:vector>
  </TitlesOfParts>
  <Company>TELUS Communications Inc.</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Canada – Scheme Canada</dc:title>
  <dc:creator>Mary Arabian</dc:creator>
  <cp:lastModifiedBy>Mary Arabian</cp:lastModifiedBy>
  <cp:revision>3</cp:revision>
  <cp:lastPrinted>2014-09-16T17:53:00Z</cp:lastPrinted>
  <dcterms:created xsi:type="dcterms:W3CDTF">2016-08-15T14:29:00Z</dcterms:created>
  <dcterms:modified xsi:type="dcterms:W3CDTF">2016-08-15T14:39:00Z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0x010100355671C6A74E1B40BF7623C1CB10B8ED</vt:lpwstr>
  </property>
  <property fmtid="{D5CDD505-2E9C-101B-9397-08002B2CF9AE}" pid="3" name="_dlc_DocIdItemGuid">
    <vt:lpwstr>2f51fafc-5a88-4ffd-8a43-4c8edabd0899</vt:lpwstr>
  </property>
</Properties>
</file>