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2D0C" w14:textId="64F6ECEA" w:rsidR="00D870EC" w:rsidRDefault="00D870EC" w:rsidP="00644368">
      <w:pPr>
        <w:rPr>
          <w:rFonts w:ascii="Arial" w:hAnsi="Arial" w:cs="Arial"/>
          <w:sz w:val="20"/>
        </w:rPr>
      </w:pPr>
    </w:p>
    <w:p w14:paraId="6FEBB8C1" w14:textId="1B23DFB9" w:rsidR="00D870EC" w:rsidRDefault="00D870EC" w:rsidP="00644368">
      <w:pPr>
        <w:rPr>
          <w:rFonts w:ascii="Arial" w:hAnsi="Arial" w:cs="Arial"/>
          <w:sz w:val="20"/>
        </w:rPr>
      </w:pPr>
      <w:r w:rsidRPr="000E11C4">
        <w:rPr>
          <w:rFonts w:ascii="Arial" w:hAnsi="Arial" w:cs="Arial"/>
          <w:b/>
          <w:noProof/>
          <w:color w:val="0A4BB7"/>
          <w:sz w:val="20"/>
        </w:rPr>
        <w:drawing>
          <wp:anchor distT="0" distB="0" distL="114300" distR="114300" simplePos="0" relativeHeight="251658240" behindDoc="1" locked="0" layoutInCell="1" allowOverlap="1" wp14:anchorId="5CAC9E32" wp14:editId="17E5620B">
            <wp:simplePos x="0" y="0"/>
            <wp:positionH relativeFrom="column">
              <wp:posOffset>0</wp:posOffset>
            </wp:positionH>
            <wp:positionV relativeFrom="paragraph">
              <wp:posOffset>2245</wp:posOffset>
            </wp:positionV>
            <wp:extent cx="1132597" cy="1069675"/>
            <wp:effectExtent l="0" t="0" r="0" b="0"/>
            <wp:wrapTight wrapText="bothSides">
              <wp:wrapPolygon edited="0">
                <wp:start x="0" y="0"/>
                <wp:lineTo x="0" y="21164"/>
                <wp:lineTo x="21079" y="21164"/>
                <wp:lineTo x="210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32597" cy="1069675"/>
                    </a:xfrm>
                    <a:prstGeom prst="rect">
                      <a:avLst/>
                    </a:prstGeom>
                  </pic:spPr>
                </pic:pic>
              </a:graphicData>
            </a:graphic>
          </wp:anchor>
        </w:drawing>
      </w:r>
    </w:p>
    <w:p w14:paraId="4A4A87BC" w14:textId="3F16F304" w:rsidR="00D870EC" w:rsidRDefault="00D870EC" w:rsidP="00644368">
      <w:pPr>
        <w:rPr>
          <w:rFonts w:ascii="Arial" w:hAnsi="Arial" w:cs="Arial"/>
          <w:sz w:val="20"/>
        </w:rPr>
      </w:pPr>
    </w:p>
    <w:p w14:paraId="0133E6DA" w14:textId="77777777" w:rsidR="00D1115E" w:rsidRDefault="00D1115E" w:rsidP="00D870EC">
      <w:pPr>
        <w:ind w:left="33" w:hanging="114"/>
        <w:rPr>
          <w:rFonts w:ascii="Arial" w:hAnsi="Arial" w:cs="Arial"/>
          <w:b/>
          <w:color w:val="0A4BB7"/>
          <w:sz w:val="20"/>
        </w:rPr>
        <w:sectPr w:rsidR="00D1115E" w:rsidSect="002F19FF">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709" w:left="1440" w:header="720" w:footer="720" w:gutter="0"/>
          <w:cols w:space="720"/>
        </w:sectPr>
      </w:pPr>
    </w:p>
    <w:p w14:paraId="00B3FD84" w14:textId="77777777" w:rsidR="00D870EC" w:rsidRPr="001D3022" w:rsidRDefault="00D870EC" w:rsidP="00D870EC">
      <w:pPr>
        <w:ind w:left="33" w:hanging="114"/>
        <w:rPr>
          <w:rFonts w:ascii="Arial" w:hAnsi="Arial" w:cs="Arial"/>
          <w:b/>
          <w:color w:val="0A4BB7"/>
          <w:sz w:val="20"/>
        </w:rPr>
      </w:pPr>
      <w:r w:rsidRPr="001D3022">
        <w:rPr>
          <w:rFonts w:ascii="Arial" w:hAnsi="Arial" w:cs="Arial"/>
          <w:b/>
          <w:color w:val="0A4BB7"/>
          <w:sz w:val="20"/>
        </w:rPr>
        <w:t xml:space="preserve">Introduction from </w:t>
      </w:r>
      <w:r>
        <w:rPr>
          <w:rFonts w:ascii="Arial" w:hAnsi="Arial" w:cs="Arial"/>
          <w:b/>
          <w:color w:val="0A4BB7"/>
          <w:sz w:val="20"/>
        </w:rPr>
        <w:t>Sara Gomez</w:t>
      </w:r>
    </w:p>
    <w:p w14:paraId="141171FE" w14:textId="77777777" w:rsidR="00D870EC" w:rsidRPr="00A71FB7" w:rsidRDefault="00D870EC" w:rsidP="00D870EC">
      <w:pPr>
        <w:ind w:left="33" w:hanging="114"/>
        <w:rPr>
          <w:rFonts w:ascii="Arial" w:hAnsi="Arial" w:cs="Arial"/>
          <w:color w:val="0A4BB7"/>
          <w:sz w:val="20"/>
        </w:rPr>
      </w:pPr>
      <w:r w:rsidRPr="00A71FB7">
        <w:rPr>
          <w:rFonts w:ascii="Arial" w:hAnsi="Arial" w:cs="Arial"/>
          <w:color w:val="0A4BB7"/>
          <w:sz w:val="20"/>
        </w:rPr>
        <w:t xml:space="preserve">Chief </w:t>
      </w:r>
      <w:r>
        <w:rPr>
          <w:rFonts w:ascii="Arial" w:hAnsi="Arial" w:cs="Arial"/>
          <w:color w:val="0A4BB7"/>
          <w:sz w:val="20"/>
        </w:rPr>
        <w:t>People</w:t>
      </w:r>
      <w:r w:rsidRPr="00A71FB7">
        <w:rPr>
          <w:rFonts w:ascii="Arial" w:hAnsi="Arial" w:cs="Arial"/>
          <w:color w:val="0A4BB7"/>
          <w:sz w:val="20"/>
        </w:rPr>
        <w:t xml:space="preserve"> Officer</w:t>
      </w:r>
    </w:p>
    <w:p w14:paraId="6E75C2FB" w14:textId="7C4EEA39" w:rsidR="00D870EC" w:rsidRDefault="00D870EC" w:rsidP="00644368">
      <w:pPr>
        <w:rPr>
          <w:rFonts w:ascii="Arial" w:hAnsi="Arial" w:cs="Arial"/>
          <w:sz w:val="20"/>
        </w:rPr>
      </w:pPr>
    </w:p>
    <w:p w14:paraId="29AC2109" w14:textId="77777777" w:rsidR="00D870EC" w:rsidRPr="00EC1439" w:rsidRDefault="00D870EC" w:rsidP="00D870EC">
      <w:pPr>
        <w:ind w:left="-108" w:right="53"/>
        <w:rPr>
          <w:rFonts w:ascii="Arial" w:hAnsi="Arial" w:cs="Arial"/>
          <w:sz w:val="20"/>
        </w:rPr>
      </w:pPr>
      <w:r>
        <w:rPr>
          <w:rFonts w:ascii="Arial" w:hAnsi="Arial" w:cs="Arial"/>
          <w:sz w:val="20"/>
        </w:rPr>
        <w:t xml:space="preserve">Lloyd’s is </w:t>
      </w:r>
      <w:r w:rsidRPr="00EC1439">
        <w:rPr>
          <w:rFonts w:ascii="Arial" w:hAnsi="Arial" w:cs="Arial"/>
          <w:sz w:val="20"/>
        </w:rPr>
        <w:t>committed to being a responsible global corporate citizen by adopting ethical principles and practices, sharing knowledge and expertise, and making a positive contribution to social and environmental issues.</w:t>
      </w:r>
    </w:p>
    <w:p w14:paraId="4B7C2CBD" w14:textId="77777777" w:rsidR="00D870EC" w:rsidRPr="00EC1439" w:rsidRDefault="00D870EC" w:rsidP="00D870EC">
      <w:pPr>
        <w:ind w:left="-108" w:right="53"/>
        <w:rPr>
          <w:rFonts w:ascii="Arial" w:hAnsi="Arial" w:cs="Arial"/>
          <w:sz w:val="20"/>
        </w:rPr>
      </w:pPr>
    </w:p>
    <w:p w14:paraId="75CD19A9" w14:textId="77777777" w:rsidR="00D870EC" w:rsidRPr="0043262A" w:rsidRDefault="00D870EC" w:rsidP="00D870EC">
      <w:pPr>
        <w:ind w:left="-108" w:right="53"/>
        <w:rPr>
          <w:rFonts w:ascii="Arial" w:hAnsi="Arial" w:cs="Arial"/>
          <w:sz w:val="20"/>
        </w:rPr>
      </w:pPr>
      <w:r w:rsidRPr="0043262A">
        <w:rPr>
          <w:rFonts w:ascii="Arial" w:hAnsi="Arial" w:cs="Arial"/>
          <w:sz w:val="20"/>
        </w:rPr>
        <w:t>We support the principles set out in the United Nations Universal Declaration of Human Rights and the International Labour Organisation core labour standards.</w:t>
      </w:r>
      <w:r>
        <w:rPr>
          <w:rFonts w:ascii="Arial" w:hAnsi="Arial" w:cs="Arial"/>
          <w:sz w:val="20"/>
        </w:rPr>
        <w:t xml:space="preserve"> </w:t>
      </w:r>
      <w:r w:rsidRPr="0043262A">
        <w:rPr>
          <w:rFonts w:ascii="Arial" w:hAnsi="Arial" w:cs="Arial"/>
          <w:sz w:val="20"/>
        </w:rPr>
        <w:t xml:space="preserve">Lloyd’s is </w:t>
      </w:r>
      <w:r>
        <w:rPr>
          <w:rFonts w:ascii="Arial" w:hAnsi="Arial" w:cs="Arial"/>
          <w:sz w:val="20"/>
        </w:rPr>
        <w:t xml:space="preserve">also </w:t>
      </w:r>
      <w:r w:rsidRPr="0043262A">
        <w:rPr>
          <w:rFonts w:ascii="Arial" w:hAnsi="Arial" w:cs="Arial"/>
          <w:sz w:val="20"/>
        </w:rPr>
        <w:t xml:space="preserve">a signatory to the United Nations Global Compact and is committed to operating in a way that, as a minimum, meets fundamental responsibilities in the areas of human rights and labour, as well as environment and anti-corruption.  </w:t>
      </w:r>
    </w:p>
    <w:p w14:paraId="585E61C7" w14:textId="77777777" w:rsidR="00D870EC" w:rsidRDefault="00D870EC" w:rsidP="00D870EC">
      <w:pPr>
        <w:ind w:left="-108" w:right="53"/>
        <w:rPr>
          <w:rFonts w:ascii="Arial" w:hAnsi="Arial" w:cs="Arial"/>
          <w:sz w:val="20"/>
        </w:rPr>
      </w:pPr>
    </w:p>
    <w:p w14:paraId="37D9F306" w14:textId="2A69AF98" w:rsidR="00D870EC" w:rsidRPr="00EC1439" w:rsidRDefault="00D870EC" w:rsidP="00D870EC">
      <w:pPr>
        <w:ind w:left="-108" w:right="53"/>
        <w:rPr>
          <w:rFonts w:ascii="Arial" w:hAnsi="Arial" w:cs="Arial"/>
          <w:sz w:val="20"/>
        </w:rPr>
      </w:pPr>
      <w:r>
        <w:rPr>
          <w:rFonts w:ascii="Arial" w:hAnsi="Arial" w:cs="Arial"/>
          <w:sz w:val="20"/>
        </w:rPr>
        <w:t>We</w:t>
      </w:r>
      <w:r w:rsidRPr="0099570A">
        <w:rPr>
          <w:rFonts w:ascii="Arial" w:hAnsi="Arial" w:cs="Arial"/>
          <w:sz w:val="20"/>
        </w:rPr>
        <w:t xml:space="preserve"> recognise that modern slavery is a crime and a violation of fundamental human rights. It can take various forms including: slavery, servitude, forced and compulsory labour and human trafficking.  Lloyd’s has a zero-tolerance approach to modern slavery and we are committed to being a responsible business</w:t>
      </w:r>
      <w:r w:rsidR="00D1115E">
        <w:rPr>
          <w:rFonts w:ascii="Arial" w:hAnsi="Arial" w:cs="Arial"/>
          <w:sz w:val="20"/>
        </w:rPr>
        <w:t xml:space="preserve"> </w:t>
      </w:r>
      <w:r w:rsidRPr="0099570A">
        <w:rPr>
          <w:rFonts w:ascii="Arial" w:hAnsi="Arial" w:cs="Arial"/>
          <w:sz w:val="20"/>
        </w:rPr>
        <w:t xml:space="preserve">in all our dealings and relationships; this includes </w:t>
      </w:r>
      <w:r w:rsidRPr="0099570A">
        <w:rPr>
          <w:rFonts w:ascii="Arial" w:hAnsi="Arial" w:cs="Arial"/>
          <w:sz w:val="20"/>
        </w:rPr>
        <w:t>improving business practices, systems and controls to combat slavery and human trafficking</w:t>
      </w:r>
      <w:r>
        <w:rPr>
          <w:rFonts w:ascii="Arial" w:hAnsi="Arial" w:cs="Arial"/>
          <w:sz w:val="20"/>
        </w:rPr>
        <w:t>.</w:t>
      </w:r>
    </w:p>
    <w:p w14:paraId="7A7C86F3" w14:textId="3F4CFDF4" w:rsidR="00D870EC" w:rsidRDefault="00D870EC" w:rsidP="00644368">
      <w:pPr>
        <w:rPr>
          <w:rFonts w:ascii="Arial" w:hAnsi="Arial" w:cs="Arial"/>
          <w:sz w:val="20"/>
        </w:rPr>
      </w:pPr>
    </w:p>
    <w:p w14:paraId="5355D6AE" w14:textId="77777777" w:rsidR="00D870EC" w:rsidRPr="00561E51" w:rsidRDefault="00D870EC" w:rsidP="00D870EC">
      <w:pPr>
        <w:ind w:left="33" w:hanging="33"/>
        <w:rPr>
          <w:rFonts w:ascii="Arial" w:hAnsi="Arial" w:cs="Arial"/>
          <w:b/>
          <w:color w:val="0A4BB7"/>
          <w:sz w:val="20"/>
        </w:rPr>
      </w:pPr>
      <w:r w:rsidRPr="00561E51">
        <w:rPr>
          <w:rFonts w:ascii="Arial" w:hAnsi="Arial" w:cs="Arial"/>
          <w:b/>
          <w:color w:val="0A4BB7"/>
          <w:sz w:val="20"/>
        </w:rPr>
        <w:t>Structure of Lloyd’s</w:t>
      </w:r>
    </w:p>
    <w:p w14:paraId="1F19C008" w14:textId="77777777" w:rsidR="00D870EC" w:rsidRPr="00EC1439" w:rsidRDefault="00D870EC" w:rsidP="00D870EC">
      <w:pPr>
        <w:rPr>
          <w:rFonts w:ascii="Arial" w:hAnsi="Arial" w:cs="Arial"/>
          <w:sz w:val="20"/>
        </w:rPr>
      </w:pPr>
    </w:p>
    <w:p w14:paraId="39E8BF2F" w14:textId="77777777" w:rsidR="00D870EC" w:rsidRPr="00EC1439" w:rsidRDefault="00D870EC" w:rsidP="00D870EC">
      <w:pPr>
        <w:rPr>
          <w:rFonts w:ascii="Arial" w:hAnsi="Arial" w:cs="Arial"/>
          <w:sz w:val="20"/>
        </w:rPr>
      </w:pPr>
      <w:r w:rsidRPr="00EC1439">
        <w:rPr>
          <w:rFonts w:ascii="Arial" w:hAnsi="Arial" w:cs="Arial"/>
          <w:sz w:val="20"/>
        </w:rPr>
        <w:t xml:space="preserve">Lloyd’s is the world’s </w:t>
      </w:r>
      <w:r>
        <w:rPr>
          <w:rFonts w:ascii="Arial" w:hAnsi="Arial" w:cs="Arial"/>
          <w:sz w:val="20"/>
        </w:rPr>
        <w:t xml:space="preserve">leading </w:t>
      </w:r>
      <w:r w:rsidRPr="00EC1439">
        <w:rPr>
          <w:rFonts w:ascii="Arial" w:hAnsi="Arial" w:cs="Arial"/>
          <w:sz w:val="20"/>
        </w:rPr>
        <w:t>insurance and reinsurance market</w:t>
      </w:r>
      <w:r>
        <w:rPr>
          <w:rFonts w:ascii="Arial" w:hAnsi="Arial" w:cs="Arial"/>
          <w:sz w:val="20"/>
        </w:rPr>
        <w:t>place</w:t>
      </w:r>
      <w:r w:rsidRPr="00EC1439">
        <w:rPr>
          <w:rFonts w:ascii="Arial" w:hAnsi="Arial" w:cs="Arial"/>
          <w:sz w:val="20"/>
        </w:rPr>
        <w:t>. The Corporation of Lloyd’s oversees and supports the Lloyd’s market, ensuring it operates efficiently and retains its reputation as the marke</w:t>
      </w:r>
      <w:r>
        <w:rPr>
          <w:rFonts w:ascii="Arial" w:hAnsi="Arial" w:cs="Arial"/>
          <w:sz w:val="20"/>
        </w:rPr>
        <w:t xml:space="preserve">t </w:t>
      </w:r>
      <w:r w:rsidRPr="00EC1439">
        <w:rPr>
          <w:rFonts w:ascii="Arial" w:hAnsi="Arial" w:cs="Arial"/>
          <w:sz w:val="20"/>
        </w:rPr>
        <w:t>of choice for specialist insurance and reinsurance risk.</w:t>
      </w:r>
    </w:p>
    <w:p w14:paraId="30FB4478" w14:textId="77777777" w:rsidR="00D870EC" w:rsidRPr="00EC1439" w:rsidRDefault="00D870EC" w:rsidP="00D870EC">
      <w:pPr>
        <w:rPr>
          <w:rFonts w:ascii="Arial" w:hAnsi="Arial" w:cs="Arial"/>
          <w:sz w:val="20"/>
        </w:rPr>
      </w:pPr>
    </w:p>
    <w:p w14:paraId="327E73A1" w14:textId="77777777" w:rsidR="00D870EC" w:rsidRPr="00EC1439" w:rsidRDefault="00D870EC" w:rsidP="00D870EC">
      <w:pPr>
        <w:rPr>
          <w:rFonts w:ascii="Arial" w:hAnsi="Arial" w:cs="Arial"/>
          <w:sz w:val="20"/>
        </w:rPr>
      </w:pPr>
      <w:r w:rsidRPr="00EC1439">
        <w:rPr>
          <w:rFonts w:ascii="Arial" w:hAnsi="Arial" w:cs="Arial"/>
          <w:sz w:val="20"/>
        </w:rPr>
        <w:t>The Corporation’s role includes:</w:t>
      </w:r>
    </w:p>
    <w:p w14:paraId="3826BEA1" w14:textId="77777777" w:rsidR="00D870EC" w:rsidRPr="00EC1439" w:rsidRDefault="00D870EC" w:rsidP="00D870EC">
      <w:pPr>
        <w:rPr>
          <w:rFonts w:ascii="Arial" w:hAnsi="Arial" w:cs="Arial"/>
          <w:sz w:val="20"/>
        </w:rPr>
      </w:pPr>
    </w:p>
    <w:p w14:paraId="416C09D8" w14:textId="77777777" w:rsidR="00D870EC" w:rsidRDefault="00D870EC" w:rsidP="00D870EC">
      <w:pPr>
        <w:pStyle w:val="ListParagraph"/>
        <w:numPr>
          <w:ilvl w:val="0"/>
          <w:numId w:val="47"/>
        </w:numPr>
        <w:tabs>
          <w:tab w:val="left" w:pos="459"/>
        </w:tabs>
        <w:ind w:left="318" w:hanging="284"/>
        <w:rPr>
          <w:rFonts w:ascii="Arial" w:hAnsi="Arial" w:cs="Arial"/>
          <w:sz w:val="20"/>
        </w:rPr>
      </w:pPr>
      <w:r>
        <w:rPr>
          <w:rFonts w:ascii="Arial" w:hAnsi="Arial" w:cs="Arial"/>
          <w:sz w:val="20"/>
        </w:rPr>
        <w:t xml:space="preserve">Ensuring that policyholders and members are protected through the Corporation’s oversight of the market; </w:t>
      </w:r>
    </w:p>
    <w:p w14:paraId="68C277C3" w14:textId="77777777" w:rsidR="00D870EC" w:rsidRDefault="00D870EC" w:rsidP="00D870EC">
      <w:pPr>
        <w:pStyle w:val="ListParagraph"/>
        <w:tabs>
          <w:tab w:val="left" w:pos="459"/>
        </w:tabs>
        <w:ind w:left="318"/>
        <w:rPr>
          <w:rFonts w:ascii="Arial" w:hAnsi="Arial" w:cs="Arial"/>
          <w:sz w:val="20"/>
        </w:rPr>
      </w:pPr>
    </w:p>
    <w:p w14:paraId="07795AF2" w14:textId="77777777" w:rsidR="00D870EC" w:rsidRDefault="00D870EC" w:rsidP="00D870EC">
      <w:pPr>
        <w:pStyle w:val="ListParagraph"/>
        <w:numPr>
          <w:ilvl w:val="0"/>
          <w:numId w:val="47"/>
        </w:numPr>
        <w:tabs>
          <w:tab w:val="left" w:pos="459"/>
        </w:tabs>
        <w:ind w:left="318" w:hanging="284"/>
        <w:rPr>
          <w:rFonts w:ascii="Arial" w:hAnsi="Arial" w:cs="Arial"/>
          <w:sz w:val="20"/>
        </w:rPr>
      </w:pPr>
      <w:r w:rsidRPr="00EC1439">
        <w:rPr>
          <w:rFonts w:ascii="Arial" w:hAnsi="Arial" w:cs="Arial"/>
          <w:sz w:val="20"/>
        </w:rPr>
        <w:t xml:space="preserve">Managing and protecting Lloyd’s network of </w:t>
      </w:r>
      <w:r>
        <w:rPr>
          <w:rFonts w:ascii="Arial" w:hAnsi="Arial" w:cs="Arial"/>
          <w:sz w:val="20"/>
        </w:rPr>
        <w:t>international licences;</w:t>
      </w:r>
    </w:p>
    <w:p w14:paraId="55A2A6FE" w14:textId="77777777" w:rsidR="00D870EC" w:rsidRDefault="00D870EC" w:rsidP="00D870EC">
      <w:pPr>
        <w:pStyle w:val="ListParagraph"/>
        <w:tabs>
          <w:tab w:val="left" w:pos="459"/>
        </w:tabs>
        <w:ind w:left="318" w:hanging="284"/>
        <w:rPr>
          <w:rFonts w:ascii="Arial" w:hAnsi="Arial" w:cs="Arial"/>
          <w:sz w:val="20"/>
        </w:rPr>
      </w:pPr>
    </w:p>
    <w:p w14:paraId="5BED3723" w14:textId="77777777" w:rsidR="00D870EC" w:rsidRDefault="00D870EC" w:rsidP="00D870EC">
      <w:pPr>
        <w:pStyle w:val="ListParagraph"/>
        <w:numPr>
          <w:ilvl w:val="0"/>
          <w:numId w:val="47"/>
        </w:numPr>
        <w:tabs>
          <w:tab w:val="left" w:pos="459"/>
        </w:tabs>
        <w:ind w:left="318" w:hanging="284"/>
        <w:rPr>
          <w:rFonts w:ascii="Arial" w:hAnsi="Arial" w:cs="Arial"/>
          <w:sz w:val="20"/>
        </w:rPr>
      </w:pPr>
      <w:r w:rsidRPr="00EC1439">
        <w:rPr>
          <w:rFonts w:ascii="Arial" w:hAnsi="Arial" w:cs="Arial"/>
          <w:sz w:val="20"/>
        </w:rPr>
        <w:t xml:space="preserve">Agreeing syndicates’ business plans and evaluating </w:t>
      </w:r>
      <w:r>
        <w:rPr>
          <w:rFonts w:ascii="Arial" w:hAnsi="Arial" w:cs="Arial"/>
          <w:sz w:val="20"/>
        </w:rPr>
        <w:t>performance against those plans;</w:t>
      </w:r>
    </w:p>
    <w:p w14:paraId="366923E4" w14:textId="77777777" w:rsidR="00D870EC" w:rsidRPr="00EC1439" w:rsidRDefault="00D870EC" w:rsidP="00D870EC">
      <w:pPr>
        <w:pStyle w:val="ListParagraph"/>
        <w:tabs>
          <w:tab w:val="left" w:pos="459"/>
        </w:tabs>
        <w:ind w:left="318" w:hanging="284"/>
        <w:rPr>
          <w:rFonts w:ascii="Arial" w:hAnsi="Arial" w:cs="Arial"/>
          <w:sz w:val="20"/>
        </w:rPr>
      </w:pPr>
    </w:p>
    <w:p w14:paraId="7A92A410" w14:textId="646E5EE7" w:rsidR="00D870EC" w:rsidRDefault="00D870EC" w:rsidP="00D870EC">
      <w:pPr>
        <w:pStyle w:val="ListParagraph"/>
        <w:numPr>
          <w:ilvl w:val="0"/>
          <w:numId w:val="47"/>
        </w:numPr>
        <w:tabs>
          <w:tab w:val="left" w:pos="459"/>
        </w:tabs>
        <w:ind w:left="318" w:hanging="284"/>
        <w:rPr>
          <w:rFonts w:ascii="Arial" w:hAnsi="Arial" w:cs="Arial"/>
          <w:sz w:val="20"/>
        </w:rPr>
      </w:pPr>
      <w:r w:rsidRPr="00EC1439">
        <w:rPr>
          <w:rFonts w:ascii="Arial" w:hAnsi="Arial" w:cs="Arial"/>
          <w:sz w:val="20"/>
        </w:rPr>
        <w:t xml:space="preserve">Monitoring syndicates’ compliance with Lloyd’s </w:t>
      </w:r>
      <w:r>
        <w:rPr>
          <w:rFonts w:ascii="Arial" w:hAnsi="Arial" w:cs="Arial"/>
          <w:sz w:val="20"/>
        </w:rPr>
        <w:t>principles for doing business;</w:t>
      </w:r>
    </w:p>
    <w:p w14:paraId="66ACE987" w14:textId="77777777" w:rsidR="00D870EC" w:rsidRPr="00EC1439" w:rsidRDefault="00D870EC" w:rsidP="00D870EC">
      <w:pPr>
        <w:pStyle w:val="ListParagraph"/>
        <w:tabs>
          <w:tab w:val="left" w:pos="459"/>
        </w:tabs>
        <w:ind w:left="318" w:hanging="284"/>
        <w:rPr>
          <w:rFonts w:ascii="Arial" w:hAnsi="Arial" w:cs="Arial"/>
          <w:sz w:val="20"/>
        </w:rPr>
      </w:pPr>
    </w:p>
    <w:p w14:paraId="1287D9A8" w14:textId="77777777" w:rsidR="00D870EC" w:rsidRDefault="00D870EC" w:rsidP="00D870EC">
      <w:pPr>
        <w:pStyle w:val="ListParagraph"/>
        <w:numPr>
          <w:ilvl w:val="0"/>
          <w:numId w:val="47"/>
        </w:numPr>
        <w:tabs>
          <w:tab w:val="left" w:pos="459"/>
        </w:tabs>
        <w:ind w:left="318" w:hanging="284"/>
        <w:rPr>
          <w:rFonts w:ascii="Arial" w:hAnsi="Arial" w:cs="Arial"/>
          <w:sz w:val="20"/>
        </w:rPr>
      </w:pPr>
      <w:r w:rsidRPr="00EC1439">
        <w:rPr>
          <w:rFonts w:ascii="Arial" w:hAnsi="Arial" w:cs="Arial"/>
          <w:sz w:val="20"/>
        </w:rPr>
        <w:t xml:space="preserve">Continuing to raise standards and improve performance across two </w:t>
      </w:r>
      <w:r>
        <w:rPr>
          <w:rFonts w:ascii="Arial" w:hAnsi="Arial" w:cs="Arial"/>
          <w:sz w:val="20"/>
        </w:rPr>
        <w:t>key</w:t>
      </w:r>
      <w:r w:rsidRPr="00EC1439">
        <w:rPr>
          <w:rFonts w:ascii="Arial" w:hAnsi="Arial" w:cs="Arial"/>
          <w:sz w:val="20"/>
        </w:rPr>
        <w:t xml:space="preserve"> areas:</w:t>
      </w:r>
    </w:p>
    <w:p w14:paraId="00B5ADF2" w14:textId="77777777" w:rsidR="00D870EC" w:rsidRPr="00EC1439" w:rsidRDefault="00D870EC" w:rsidP="00D870EC">
      <w:pPr>
        <w:pStyle w:val="ListParagraph"/>
        <w:rPr>
          <w:rFonts w:ascii="Arial" w:hAnsi="Arial" w:cs="Arial"/>
          <w:sz w:val="20"/>
        </w:rPr>
      </w:pPr>
    </w:p>
    <w:p w14:paraId="54DEBAF6" w14:textId="77777777" w:rsidR="00D870EC" w:rsidRDefault="00D870EC" w:rsidP="00D870EC">
      <w:pPr>
        <w:pStyle w:val="ListParagraph"/>
        <w:numPr>
          <w:ilvl w:val="0"/>
          <w:numId w:val="47"/>
        </w:numPr>
        <w:tabs>
          <w:tab w:val="left" w:pos="318"/>
        </w:tabs>
        <w:ind w:left="601" w:hanging="283"/>
        <w:rPr>
          <w:rFonts w:ascii="Arial" w:hAnsi="Arial" w:cs="Arial"/>
          <w:sz w:val="20"/>
        </w:rPr>
      </w:pPr>
      <w:r w:rsidRPr="00EC1439">
        <w:rPr>
          <w:rFonts w:ascii="Arial" w:hAnsi="Arial" w:cs="Arial"/>
          <w:sz w:val="20"/>
        </w:rPr>
        <w:t>overall risk and perfo</w:t>
      </w:r>
      <w:r>
        <w:rPr>
          <w:rFonts w:ascii="Arial" w:hAnsi="Arial" w:cs="Arial"/>
          <w:sz w:val="20"/>
        </w:rPr>
        <w:t xml:space="preserve">rmance </w:t>
      </w:r>
      <w:r>
        <w:rPr>
          <w:rFonts w:ascii="Arial" w:hAnsi="Arial" w:cs="Arial"/>
          <w:sz w:val="20"/>
        </w:rPr>
        <w:t>management of the market;</w:t>
      </w:r>
    </w:p>
    <w:p w14:paraId="7FB742FC" w14:textId="77777777" w:rsidR="00D870EC" w:rsidRPr="00EC1439" w:rsidRDefault="00D870EC" w:rsidP="00D870EC">
      <w:pPr>
        <w:pStyle w:val="ListParagraph"/>
        <w:ind w:left="601" w:hanging="283"/>
        <w:rPr>
          <w:rFonts w:ascii="Arial" w:hAnsi="Arial" w:cs="Arial"/>
          <w:sz w:val="20"/>
        </w:rPr>
      </w:pPr>
    </w:p>
    <w:p w14:paraId="3491BE20" w14:textId="77777777" w:rsidR="00D870EC" w:rsidRPr="00EC1439" w:rsidRDefault="00D870EC" w:rsidP="00D870EC">
      <w:pPr>
        <w:pStyle w:val="ListParagraph"/>
        <w:numPr>
          <w:ilvl w:val="0"/>
          <w:numId w:val="47"/>
        </w:numPr>
        <w:tabs>
          <w:tab w:val="left" w:pos="318"/>
        </w:tabs>
        <w:ind w:left="601" w:hanging="283"/>
        <w:rPr>
          <w:rFonts w:ascii="Arial" w:hAnsi="Arial" w:cs="Arial"/>
          <w:sz w:val="20"/>
        </w:rPr>
      </w:pPr>
      <w:r w:rsidRPr="00EC1439">
        <w:rPr>
          <w:rFonts w:ascii="Arial" w:hAnsi="Arial" w:cs="Arial"/>
          <w:sz w:val="20"/>
        </w:rPr>
        <w:t>maintaining and developing the market’s attractiveness to capital providers, distributors</w:t>
      </w:r>
      <w:r>
        <w:rPr>
          <w:rFonts w:ascii="Arial" w:hAnsi="Arial" w:cs="Arial"/>
          <w:sz w:val="20"/>
        </w:rPr>
        <w:t xml:space="preserve"> </w:t>
      </w:r>
      <w:r w:rsidRPr="00EC1439">
        <w:rPr>
          <w:rFonts w:ascii="Arial" w:hAnsi="Arial" w:cs="Arial"/>
          <w:sz w:val="20"/>
        </w:rPr>
        <w:t>and clients, while preserving it</w:t>
      </w:r>
      <w:r>
        <w:rPr>
          <w:rFonts w:ascii="Arial" w:hAnsi="Arial" w:cs="Arial"/>
          <w:sz w:val="20"/>
        </w:rPr>
        <w:t>s diversity.</w:t>
      </w:r>
    </w:p>
    <w:p w14:paraId="56379FC6" w14:textId="77777777" w:rsidR="00D870EC" w:rsidRPr="00EC1439" w:rsidRDefault="00D870EC" w:rsidP="00D870EC">
      <w:pPr>
        <w:rPr>
          <w:rFonts w:ascii="Arial" w:hAnsi="Arial" w:cs="Arial"/>
          <w:sz w:val="20"/>
        </w:rPr>
      </w:pPr>
    </w:p>
    <w:p w14:paraId="2EF95A14" w14:textId="77777777" w:rsidR="00D870EC" w:rsidRDefault="00D870EC" w:rsidP="00D870EC">
      <w:pPr>
        <w:rPr>
          <w:rFonts w:ascii="Arial" w:hAnsi="Arial" w:cs="Arial"/>
          <w:sz w:val="20"/>
        </w:rPr>
      </w:pPr>
      <w:r w:rsidRPr="00EC1439">
        <w:rPr>
          <w:rFonts w:ascii="Arial" w:hAnsi="Arial" w:cs="Arial"/>
          <w:sz w:val="20"/>
        </w:rPr>
        <w:t xml:space="preserve">For further information about Lloyd’s, please visit </w:t>
      </w:r>
      <w:r w:rsidRPr="00EC1439">
        <w:rPr>
          <w:rFonts w:ascii="Arial" w:hAnsi="Arial" w:cs="Arial"/>
          <w:color w:val="0A4BB7"/>
          <w:sz w:val="20"/>
        </w:rPr>
        <w:t>lloyds.com</w:t>
      </w:r>
      <w:r w:rsidRPr="00EC1439">
        <w:rPr>
          <w:rFonts w:ascii="Arial" w:hAnsi="Arial" w:cs="Arial"/>
          <w:sz w:val="20"/>
        </w:rPr>
        <w:t>.</w:t>
      </w:r>
    </w:p>
    <w:p w14:paraId="07B74C24" w14:textId="2F01815E" w:rsidR="00D870EC" w:rsidRDefault="00D870EC" w:rsidP="00644368">
      <w:pPr>
        <w:rPr>
          <w:rFonts w:ascii="Arial" w:hAnsi="Arial" w:cs="Arial"/>
          <w:sz w:val="20"/>
        </w:rPr>
      </w:pPr>
    </w:p>
    <w:p w14:paraId="2B97591D" w14:textId="77777777" w:rsidR="00D870EC" w:rsidRPr="00DC214D" w:rsidRDefault="00D870EC" w:rsidP="00D870EC">
      <w:pPr>
        <w:rPr>
          <w:rFonts w:ascii="Arial" w:hAnsi="Arial" w:cs="Arial"/>
          <w:b/>
          <w:color w:val="0A4BB7"/>
          <w:sz w:val="20"/>
        </w:rPr>
      </w:pPr>
      <w:r w:rsidRPr="00DC214D">
        <w:rPr>
          <w:rFonts w:ascii="Arial" w:hAnsi="Arial" w:cs="Arial"/>
          <w:b/>
          <w:color w:val="0A4BB7"/>
          <w:sz w:val="20"/>
        </w:rPr>
        <w:t>Our supply chains</w:t>
      </w:r>
    </w:p>
    <w:p w14:paraId="6842735E" w14:textId="77777777" w:rsidR="00D870EC" w:rsidRPr="00BA2550" w:rsidRDefault="00D870EC" w:rsidP="00D870EC">
      <w:pPr>
        <w:rPr>
          <w:rFonts w:ascii="Arial" w:hAnsi="Arial" w:cs="Arial"/>
          <w:sz w:val="20"/>
        </w:rPr>
      </w:pPr>
      <w:r w:rsidRPr="00BA2550">
        <w:rPr>
          <w:rFonts w:ascii="Arial" w:hAnsi="Arial" w:cs="Arial"/>
          <w:sz w:val="20"/>
        </w:rPr>
        <w:t xml:space="preserve"> </w:t>
      </w:r>
    </w:p>
    <w:p w14:paraId="5850C213" w14:textId="77777777" w:rsidR="00D870EC" w:rsidRPr="00BA2550" w:rsidRDefault="00D870EC" w:rsidP="00D870EC">
      <w:pPr>
        <w:rPr>
          <w:rFonts w:ascii="Arial" w:hAnsi="Arial" w:cs="Arial"/>
          <w:sz w:val="20"/>
        </w:rPr>
      </w:pPr>
      <w:r w:rsidRPr="00137A3B">
        <w:rPr>
          <w:rFonts w:ascii="Arial" w:hAnsi="Arial" w:cs="Arial"/>
          <w:sz w:val="20"/>
        </w:rPr>
        <w:t>Our supply ch</w:t>
      </w:r>
      <w:r w:rsidRPr="00BA2550">
        <w:rPr>
          <w:rFonts w:ascii="Arial" w:hAnsi="Arial" w:cs="Arial"/>
          <w:sz w:val="20"/>
        </w:rPr>
        <w:t>ain comprises a global supplier base, providing a wide range of products and services</w:t>
      </w:r>
      <w:r>
        <w:rPr>
          <w:rFonts w:ascii="Arial" w:hAnsi="Arial" w:cs="Arial"/>
          <w:sz w:val="20"/>
        </w:rPr>
        <w:t>.</w:t>
      </w:r>
    </w:p>
    <w:p w14:paraId="2D324671" w14:textId="77777777" w:rsidR="00D870EC" w:rsidRPr="00BA2550" w:rsidRDefault="00D870EC" w:rsidP="00D870EC">
      <w:pPr>
        <w:rPr>
          <w:rFonts w:ascii="Arial" w:hAnsi="Arial" w:cs="Arial"/>
          <w:sz w:val="20"/>
        </w:rPr>
      </w:pPr>
    </w:p>
    <w:p w14:paraId="7CC53A55" w14:textId="77777777" w:rsidR="00D870EC" w:rsidRPr="00BA2550" w:rsidRDefault="00D870EC" w:rsidP="00D870EC">
      <w:pPr>
        <w:rPr>
          <w:rFonts w:ascii="Arial" w:hAnsi="Arial" w:cs="Arial"/>
          <w:sz w:val="20"/>
        </w:rPr>
      </w:pPr>
      <w:r w:rsidRPr="00BA2550">
        <w:rPr>
          <w:rFonts w:ascii="Arial" w:hAnsi="Arial" w:cs="Arial"/>
          <w:sz w:val="20"/>
        </w:rPr>
        <w:t xml:space="preserve">Lloyd’s is committed to the highest professional standards and ethics, and we expect the same high standards from the parties we work with. </w:t>
      </w:r>
    </w:p>
    <w:p w14:paraId="355BD48D" w14:textId="77777777" w:rsidR="00D870EC" w:rsidRPr="00BA2550" w:rsidRDefault="00D870EC" w:rsidP="00D870EC">
      <w:pPr>
        <w:rPr>
          <w:rFonts w:ascii="Arial" w:hAnsi="Arial" w:cs="Arial"/>
          <w:sz w:val="20"/>
        </w:rPr>
      </w:pPr>
    </w:p>
    <w:p w14:paraId="1EF600DD" w14:textId="77777777" w:rsidR="00D870EC" w:rsidRPr="00BA2550" w:rsidRDefault="00D870EC" w:rsidP="00D870EC">
      <w:pPr>
        <w:rPr>
          <w:rFonts w:ascii="Arial" w:hAnsi="Arial" w:cs="Arial"/>
          <w:sz w:val="20"/>
        </w:rPr>
      </w:pPr>
      <w:r w:rsidRPr="00BA2550">
        <w:rPr>
          <w:rFonts w:ascii="Arial" w:hAnsi="Arial" w:cs="Arial"/>
          <w:sz w:val="20"/>
        </w:rPr>
        <w:t xml:space="preserve">Our aim is to work collaboratively with our supply chain partners </w:t>
      </w:r>
      <w:r>
        <w:rPr>
          <w:rFonts w:ascii="Arial" w:hAnsi="Arial" w:cs="Arial"/>
          <w:sz w:val="20"/>
        </w:rPr>
        <w:t>to uphold high standards of conduct around safe working conditions, treating workers with dignity and respect and acting fairly and ethically</w:t>
      </w:r>
      <w:r w:rsidRPr="00BA2550">
        <w:rPr>
          <w:rFonts w:ascii="Arial" w:hAnsi="Arial" w:cs="Arial"/>
          <w:sz w:val="20"/>
        </w:rPr>
        <w:t>.</w:t>
      </w:r>
    </w:p>
    <w:p w14:paraId="5E8BD761" w14:textId="77777777" w:rsidR="00D870EC" w:rsidRPr="00BA2550" w:rsidRDefault="00D870EC" w:rsidP="00D870EC">
      <w:pPr>
        <w:rPr>
          <w:rFonts w:ascii="Arial" w:hAnsi="Arial" w:cs="Arial"/>
          <w:sz w:val="20"/>
        </w:rPr>
      </w:pPr>
    </w:p>
    <w:p w14:paraId="35D28DD0" w14:textId="77777777" w:rsidR="00D870EC" w:rsidRPr="00BA2550" w:rsidRDefault="00D870EC" w:rsidP="00D870EC">
      <w:pPr>
        <w:rPr>
          <w:rFonts w:ascii="Arial" w:hAnsi="Arial" w:cs="Arial"/>
          <w:b/>
          <w:color w:val="0A4BB7"/>
          <w:sz w:val="20"/>
        </w:rPr>
      </w:pPr>
      <w:r w:rsidRPr="00BA2550">
        <w:rPr>
          <w:rFonts w:ascii="Arial" w:hAnsi="Arial" w:cs="Arial"/>
          <w:b/>
          <w:color w:val="0A4BB7"/>
          <w:sz w:val="20"/>
        </w:rPr>
        <w:t>Supplier due diligence</w:t>
      </w:r>
    </w:p>
    <w:p w14:paraId="69973BC7" w14:textId="77777777" w:rsidR="00D870EC" w:rsidRPr="00BA2550" w:rsidRDefault="00D870EC" w:rsidP="00D870EC">
      <w:pPr>
        <w:rPr>
          <w:rFonts w:ascii="Arial" w:hAnsi="Arial" w:cs="Arial"/>
          <w:sz w:val="20"/>
        </w:rPr>
      </w:pPr>
    </w:p>
    <w:p w14:paraId="69DD2B9D" w14:textId="77777777" w:rsidR="00D870EC" w:rsidRPr="00BA2550" w:rsidRDefault="00D870EC" w:rsidP="00D870EC">
      <w:pPr>
        <w:rPr>
          <w:rFonts w:ascii="Arial" w:hAnsi="Arial" w:cs="Arial"/>
          <w:sz w:val="20"/>
        </w:rPr>
      </w:pPr>
      <w:r w:rsidRPr="2F32B62D">
        <w:rPr>
          <w:rFonts w:ascii="Arial" w:hAnsi="Arial" w:cs="Arial"/>
          <w:sz w:val="20"/>
        </w:rPr>
        <w:t xml:space="preserve">The Corporation’s suppliers are engaged in accordance with Lloyd’s Group Procurement Policy and overseen by a central Procurement Governance Centre of Expertise and </w:t>
      </w:r>
      <w:r w:rsidRPr="2F32B62D">
        <w:rPr>
          <w:rFonts w:ascii="Arial" w:hAnsi="Arial" w:cs="Arial"/>
          <w:sz w:val="20"/>
        </w:rPr>
        <w:lastRenderedPageBreak/>
        <w:t>dedicated Supplier Management team.</w:t>
      </w:r>
    </w:p>
    <w:p w14:paraId="64DF1C92" w14:textId="77777777" w:rsidR="00D870EC" w:rsidRPr="00BA2550" w:rsidRDefault="00D870EC" w:rsidP="00D870EC">
      <w:pPr>
        <w:rPr>
          <w:rFonts w:ascii="Arial" w:hAnsi="Arial" w:cs="Arial"/>
          <w:sz w:val="20"/>
        </w:rPr>
      </w:pPr>
    </w:p>
    <w:p w14:paraId="5E57F483" w14:textId="77777777" w:rsidR="00D870EC" w:rsidRDefault="00D870EC" w:rsidP="00D870EC">
      <w:pPr>
        <w:rPr>
          <w:rFonts w:ascii="Arial" w:hAnsi="Arial" w:cs="Arial"/>
          <w:sz w:val="20"/>
        </w:rPr>
      </w:pPr>
      <w:r w:rsidRPr="00BA2550">
        <w:rPr>
          <w:rFonts w:ascii="Arial" w:hAnsi="Arial" w:cs="Arial"/>
          <w:sz w:val="20"/>
        </w:rPr>
        <w:t xml:space="preserve">Our procurement process includes the vetting of new suppliers and annual risk and performance </w:t>
      </w:r>
      <w:r>
        <w:rPr>
          <w:rFonts w:ascii="Arial" w:hAnsi="Arial" w:cs="Arial"/>
          <w:sz w:val="20"/>
        </w:rPr>
        <w:t>reviews of our most critical supplier relationships</w:t>
      </w:r>
      <w:r w:rsidRPr="00137A3B">
        <w:rPr>
          <w:rFonts w:ascii="Arial" w:hAnsi="Arial" w:cs="Arial"/>
          <w:sz w:val="20"/>
        </w:rPr>
        <w:t xml:space="preserve">. </w:t>
      </w:r>
    </w:p>
    <w:p w14:paraId="6F4C3FDF" w14:textId="77777777" w:rsidR="00D870EC" w:rsidRDefault="00D870EC" w:rsidP="00D870EC">
      <w:pPr>
        <w:rPr>
          <w:rFonts w:ascii="Arial" w:hAnsi="Arial" w:cs="Arial"/>
          <w:sz w:val="20"/>
        </w:rPr>
      </w:pPr>
    </w:p>
    <w:p w14:paraId="5B3B38A2" w14:textId="77777777" w:rsidR="00D870EC" w:rsidRDefault="00D870EC" w:rsidP="00D870EC">
      <w:pPr>
        <w:rPr>
          <w:rFonts w:ascii="Arial" w:hAnsi="Arial" w:cs="Arial"/>
          <w:sz w:val="20"/>
        </w:rPr>
      </w:pPr>
      <w:r w:rsidRPr="00137A3B">
        <w:rPr>
          <w:rFonts w:ascii="Arial" w:hAnsi="Arial" w:cs="Arial"/>
          <w:sz w:val="20"/>
        </w:rPr>
        <w:t xml:space="preserve">As part of the tender vetting process, </w:t>
      </w:r>
      <w:r w:rsidRPr="00DC214D">
        <w:rPr>
          <w:rFonts w:ascii="Arial" w:hAnsi="Arial" w:cs="Arial"/>
          <w:sz w:val="20"/>
        </w:rPr>
        <w:t xml:space="preserve">suppliers are asked </w:t>
      </w:r>
      <w:r>
        <w:rPr>
          <w:rFonts w:ascii="Arial" w:hAnsi="Arial" w:cs="Arial"/>
          <w:sz w:val="20"/>
        </w:rPr>
        <w:t xml:space="preserve">a series of responsible business questions which assess a supplier’s position on human rights, environmental and social issues. Suppliers are also provided with Lloyd’s Supplier Code of Conduct which sets out the standards of business conduct which all suppliers and any third-party sub-contractors should comply with, including:  </w:t>
      </w:r>
      <w:r w:rsidRPr="00DC214D">
        <w:rPr>
          <w:rFonts w:ascii="Arial" w:hAnsi="Arial" w:cs="Arial"/>
          <w:sz w:val="20"/>
        </w:rPr>
        <w:t>their responsible business</w:t>
      </w:r>
      <w:r>
        <w:rPr>
          <w:rFonts w:ascii="Arial" w:hAnsi="Arial" w:cs="Arial"/>
          <w:sz w:val="20"/>
        </w:rPr>
        <w:t xml:space="preserve"> approach, protection of human rights,</w:t>
      </w:r>
      <w:r w:rsidRPr="00DC214D">
        <w:rPr>
          <w:rFonts w:ascii="Arial" w:hAnsi="Arial" w:cs="Arial"/>
          <w:sz w:val="20"/>
        </w:rPr>
        <w:t xml:space="preserve"> diversity and inclusion; environmental and health &amp; safety practices.</w:t>
      </w:r>
    </w:p>
    <w:p w14:paraId="67CCAD4A" w14:textId="1EF8506B" w:rsidR="00D870EC" w:rsidRDefault="00D870EC" w:rsidP="00644368">
      <w:pPr>
        <w:rPr>
          <w:rFonts w:ascii="Arial" w:hAnsi="Arial" w:cs="Arial"/>
          <w:sz w:val="20"/>
        </w:rPr>
      </w:pPr>
    </w:p>
    <w:p w14:paraId="10F15089" w14:textId="77777777" w:rsidR="00D870EC" w:rsidRPr="00DC214D" w:rsidRDefault="00D870EC" w:rsidP="00D870EC">
      <w:pPr>
        <w:rPr>
          <w:rFonts w:ascii="Arial" w:hAnsi="Arial" w:cs="Arial"/>
          <w:sz w:val="20"/>
        </w:rPr>
      </w:pPr>
      <w:r>
        <w:rPr>
          <w:rFonts w:ascii="Arial" w:hAnsi="Arial" w:cs="Arial"/>
          <w:sz w:val="20"/>
        </w:rPr>
        <w:t xml:space="preserve">Suppliers must take appropriate steps to identify and reduce any of the above risks, as well as providing a safe working environment, abiding by national Health and Safety laws and providing a mechanism to employees to enable individuals to raise concerns relating to wrongdoing or malpractice. </w:t>
      </w:r>
    </w:p>
    <w:p w14:paraId="3731EA2B" w14:textId="14AB543D" w:rsidR="00D870EC" w:rsidRDefault="00D870EC" w:rsidP="00644368">
      <w:pPr>
        <w:rPr>
          <w:rFonts w:ascii="Arial" w:hAnsi="Arial" w:cs="Arial"/>
          <w:sz w:val="20"/>
        </w:rPr>
      </w:pPr>
    </w:p>
    <w:p w14:paraId="02951459" w14:textId="77777777" w:rsidR="00D870EC" w:rsidRPr="00EC1439" w:rsidRDefault="00D870EC" w:rsidP="00D870EC">
      <w:pPr>
        <w:ind w:left="-108"/>
        <w:rPr>
          <w:rFonts w:ascii="Arial" w:hAnsi="Arial" w:cs="Arial"/>
          <w:b/>
          <w:color w:val="0A4BB7"/>
          <w:sz w:val="20"/>
        </w:rPr>
      </w:pPr>
      <w:r w:rsidRPr="00EC1439">
        <w:rPr>
          <w:rFonts w:ascii="Arial" w:hAnsi="Arial" w:cs="Arial"/>
          <w:b/>
          <w:color w:val="0A4BB7"/>
          <w:sz w:val="20"/>
        </w:rPr>
        <w:t>Our policies</w:t>
      </w:r>
    </w:p>
    <w:p w14:paraId="2C3A4C16" w14:textId="77777777" w:rsidR="00D870EC" w:rsidRPr="00EC1439" w:rsidRDefault="00D870EC" w:rsidP="00D870EC">
      <w:pPr>
        <w:ind w:left="-108"/>
        <w:rPr>
          <w:rFonts w:ascii="Arial" w:hAnsi="Arial" w:cs="Arial"/>
          <w:sz w:val="20"/>
        </w:rPr>
      </w:pPr>
    </w:p>
    <w:p w14:paraId="5385B2D9" w14:textId="77777777" w:rsidR="00D870EC" w:rsidRPr="001C3137" w:rsidRDefault="00D870EC" w:rsidP="00D870EC">
      <w:pPr>
        <w:ind w:left="-108"/>
        <w:rPr>
          <w:rFonts w:ascii="Arial" w:hAnsi="Arial" w:cs="Arial"/>
          <w:sz w:val="20"/>
        </w:rPr>
      </w:pPr>
      <w:r w:rsidRPr="001C3137">
        <w:rPr>
          <w:rFonts w:ascii="Arial" w:hAnsi="Arial" w:cs="Arial"/>
          <w:sz w:val="20"/>
        </w:rPr>
        <w:t>We are committed to ensuring</w:t>
      </w:r>
      <w:r>
        <w:rPr>
          <w:rFonts w:ascii="Arial" w:hAnsi="Arial" w:cs="Arial"/>
          <w:sz w:val="20"/>
        </w:rPr>
        <w:t xml:space="preserve"> transparency in our business and in our approach to tackling modern slavery</w:t>
      </w:r>
      <w:r w:rsidRPr="001C3137">
        <w:rPr>
          <w:rFonts w:ascii="Arial" w:hAnsi="Arial" w:cs="Arial"/>
          <w:sz w:val="20"/>
        </w:rPr>
        <w:t xml:space="preserve"> </w:t>
      </w:r>
      <w:r>
        <w:rPr>
          <w:rFonts w:ascii="Arial" w:hAnsi="Arial" w:cs="Arial"/>
          <w:sz w:val="20"/>
        </w:rPr>
        <w:t>and</w:t>
      </w:r>
      <w:r w:rsidRPr="001C3137">
        <w:rPr>
          <w:rFonts w:ascii="Arial" w:hAnsi="Arial" w:cs="Arial"/>
          <w:sz w:val="20"/>
        </w:rPr>
        <w:t xml:space="preserve"> human trafficking</w:t>
      </w:r>
      <w:r>
        <w:rPr>
          <w:rFonts w:ascii="Arial" w:hAnsi="Arial" w:cs="Arial"/>
          <w:sz w:val="20"/>
        </w:rPr>
        <w:t>.</w:t>
      </w:r>
      <w:r w:rsidRPr="001C3137">
        <w:rPr>
          <w:rFonts w:ascii="Arial" w:hAnsi="Arial" w:cs="Arial"/>
          <w:sz w:val="20"/>
        </w:rPr>
        <w:t xml:space="preserve"> We </w:t>
      </w:r>
      <w:r w:rsidRPr="001C3137">
        <w:rPr>
          <w:rFonts w:ascii="Arial" w:hAnsi="Arial" w:cs="Arial"/>
          <w:sz w:val="20"/>
        </w:rPr>
        <w:t xml:space="preserve">continue to implement </w:t>
      </w:r>
      <w:r>
        <w:rPr>
          <w:rFonts w:ascii="Arial" w:hAnsi="Arial" w:cs="Arial"/>
          <w:sz w:val="20"/>
        </w:rPr>
        <w:t xml:space="preserve">and develop </w:t>
      </w:r>
      <w:r w:rsidRPr="001C3137">
        <w:rPr>
          <w:rFonts w:ascii="Arial" w:hAnsi="Arial" w:cs="Arial"/>
          <w:sz w:val="20"/>
        </w:rPr>
        <w:t>appropriate policies to support our commitment to act ethically and with integrity in all our business relationships.</w:t>
      </w:r>
    </w:p>
    <w:p w14:paraId="4B2B0AEB" w14:textId="77777777" w:rsidR="00D870EC" w:rsidRPr="00EC1439" w:rsidRDefault="00D870EC" w:rsidP="00D870EC">
      <w:pPr>
        <w:ind w:left="-108"/>
        <w:rPr>
          <w:rFonts w:ascii="Arial" w:hAnsi="Arial" w:cs="Arial"/>
          <w:sz w:val="20"/>
        </w:rPr>
      </w:pPr>
    </w:p>
    <w:p w14:paraId="4D4EBC47" w14:textId="77777777" w:rsidR="00D870EC" w:rsidRPr="00EC1439" w:rsidRDefault="00D870EC" w:rsidP="00D870EC">
      <w:pPr>
        <w:ind w:left="-108"/>
        <w:rPr>
          <w:rFonts w:ascii="Arial" w:hAnsi="Arial" w:cs="Arial"/>
          <w:b/>
          <w:color w:val="0A4BB7"/>
          <w:sz w:val="20"/>
        </w:rPr>
      </w:pPr>
      <w:r w:rsidRPr="00EC1439">
        <w:rPr>
          <w:rFonts w:ascii="Arial" w:hAnsi="Arial" w:cs="Arial"/>
          <w:b/>
          <w:color w:val="0A4BB7"/>
          <w:sz w:val="20"/>
        </w:rPr>
        <w:t>Employees</w:t>
      </w:r>
    </w:p>
    <w:p w14:paraId="6099C0A4" w14:textId="77777777" w:rsidR="00D870EC" w:rsidRPr="00EC1439" w:rsidRDefault="00D870EC" w:rsidP="00D870EC">
      <w:pPr>
        <w:ind w:left="-108"/>
        <w:rPr>
          <w:rFonts w:ascii="Arial" w:hAnsi="Arial" w:cs="Arial"/>
          <w:sz w:val="20"/>
        </w:rPr>
      </w:pPr>
    </w:p>
    <w:p w14:paraId="4B4F4D58" w14:textId="77777777" w:rsidR="00D1115E" w:rsidRDefault="00D870EC" w:rsidP="00D1115E">
      <w:pPr>
        <w:ind w:left="-108"/>
        <w:rPr>
          <w:rFonts w:ascii="Arial" w:hAnsi="Arial" w:cs="Arial"/>
          <w:sz w:val="20"/>
        </w:rPr>
      </w:pPr>
      <w:r w:rsidRPr="00BA2550">
        <w:rPr>
          <w:rFonts w:ascii="Arial" w:hAnsi="Arial" w:cs="Arial"/>
          <w:sz w:val="20"/>
        </w:rPr>
        <w:t>We fully support the principles set out in the UN’s Universal Declaration of Human Rights and the International Labour Organisation core labour standards.  We respect the dignity and rights of each individual who works for us and with us. This also extends to the employees of suppliers working on our sites, where we have proactively sought to improve their living standards through the Living Wage Foundation</w:t>
      </w:r>
      <w:r w:rsidRPr="00EC1439">
        <w:rPr>
          <w:rFonts w:ascii="Arial" w:hAnsi="Arial" w:cs="Arial"/>
          <w:sz w:val="20"/>
        </w:rPr>
        <w:t>.</w:t>
      </w:r>
    </w:p>
    <w:p w14:paraId="6FC06021" w14:textId="77777777" w:rsidR="00D1115E" w:rsidRDefault="00D1115E" w:rsidP="00D1115E">
      <w:pPr>
        <w:ind w:left="-108"/>
        <w:rPr>
          <w:rFonts w:ascii="Arial" w:hAnsi="Arial" w:cs="Arial"/>
          <w:sz w:val="20"/>
        </w:rPr>
      </w:pPr>
    </w:p>
    <w:p w14:paraId="03140C2D" w14:textId="77777777" w:rsidR="00BC45A9" w:rsidRDefault="00D870EC" w:rsidP="00D1115E">
      <w:pPr>
        <w:ind w:left="-108"/>
        <w:rPr>
          <w:rFonts w:ascii="Arial" w:hAnsi="Arial" w:cs="Arial"/>
          <w:sz w:val="20"/>
        </w:rPr>
      </w:pPr>
      <w:r w:rsidRPr="2F32B62D">
        <w:rPr>
          <w:rFonts w:ascii="Arial" w:hAnsi="Arial" w:cs="Arial"/>
          <w:sz w:val="20"/>
        </w:rPr>
        <w:t xml:space="preserve">Lloyd’s employee code of conduct includes our zero tolerance of corruption in any form as well as expectations to respect and maintain the confidentiality of information, contribute to the social wellbeing of our communities and act with high ethical and governance standards. This is supported by our Corporations’ Consolidated Compliance Policy, outlining the whistleblowing process for current and former staff, with an independent </w:t>
      </w:r>
      <w:r w:rsidRPr="2F32B62D">
        <w:rPr>
          <w:rFonts w:ascii="Arial" w:hAnsi="Arial" w:cs="Arial"/>
          <w:sz w:val="20"/>
          <w:shd w:val="clear" w:color="auto" w:fill="F8F8F8"/>
        </w:rPr>
        <w:t xml:space="preserve">confidential Lloyd’s whistleblowing </w:t>
      </w:r>
      <w:r w:rsidRPr="2F32B62D">
        <w:rPr>
          <w:rFonts w:ascii="Arial" w:hAnsi="Arial" w:cs="Arial"/>
          <w:sz w:val="20"/>
        </w:rPr>
        <w:t xml:space="preserve">helpline and website. </w:t>
      </w:r>
    </w:p>
    <w:p w14:paraId="7D62C2EE" w14:textId="77777777" w:rsidR="00BC45A9" w:rsidRDefault="00BC45A9" w:rsidP="00D1115E">
      <w:pPr>
        <w:ind w:left="-108"/>
        <w:rPr>
          <w:rFonts w:ascii="Arial" w:hAnsi="Arial" w:cs="Arial"/>
          <w:sz w:val="20"/>
        </w:rPr>
      </w:pPr>
    </w:p>
    <w:p w14:paraId="0BCB720B" w14:textId="3323BEFD" w:rsidR="00D870EC" w:rsidRDefault="00D870EC" w:rsidP="00D1115E">
      <w:pPr>
        <w:ind w:left="-108"/>
        <w:rPr>
          <w:rFonts w:ascii="Arial" w:hAnsi="Arial" w:cs="Arial"/>
          <w:sz w:val="20"/>
        </w:rPr>
      </w:pPr>
      <w:r w:rsidRPr="2F32B62D">
        <w:rPr>
          <w:rFonts w:ascii="Arial" w:hAnsi="Arial" w:cs="Arial"/>
          <w:sz w:val="20"/>
        </w:rPr>
        <w:t>Members of the Lloyd’s market can</w:t>
      </w:r>
      <w:r>
        <w:rPr>
          <w:rFonts w:ascii="Arial" w:hAnsi="Arial" w:cs="Arial"/>
          <w:sz w:val="20"/>
        </w:rPr>
        <w:t xml:space="preserve"> </w:t>
      </w:r>
      <w:r w:rsidRPr="2F32B62D">
        <w:rPr>
          <w:rFonts w:ascii="Arial" w:hAnsi="Arial" w:cs="Arial"/>
          <w:sz w:val="20"/>
        </w:rPr>
        <w:t xml:space="preserve">contact the confidential </w:t>
      </w:r>
      <w:proofErr w:type="spellStart"/>
      <w:r w:rsidRPr="2F32B62D">
        <w:rPr>
          <w:rFonts w:ascii="Arial" w:hAnsi="Arial" w:cs="Arial"/>
          <w:sz w:val="20"/>
        </w:rPr>
        <w:t>AdviceLine</w:t>
      </w:r>
      <w:proofErr w:type="spellEnd"/>
      <w:r w:rsidRPr="2F32B62D">
        <w:rPr>
          <w:rFonts w:ascii="Arial" w:hAnsi="Arial" w:cs="Arial"/>
          <w:sz w:val="20"/>
        </w:rPr>
        <w:t xml:space="preserve">.  If there are any genuine concerns about any wrongdoing or breaches of law, these concerns can be </w:t>
      </w:r>
      <w:r w:rsidRPr="2F32B62D">
        <w:rPr>
          <w:rFonts w:ascii="Arial" w:hAnsi="Arial" w:cs="Arial"/>
          <w:sz w:val="20"/>
        </w:rPr>
        <w:t>raised in confidence without fear of disciplinary action.</w:t>
      </w:r>
    </w:p>
    <w:p w14:paraId="443B2A06" w14:textId="2CC80A7D" w:rsidR="00D870EC" w:rsidRDefault="00D870EC" w:rsidP="00D870EC">
      <w:pPr>
        <w:rPr>
          <w:rFonts w:ascii="Arial" w:hAnsi="Arial" w:cs="Arial"/>
          <w:sz w:val="20"/>
        </w:rPr>
      </w:pPr>
    </w:p>
    <w:p w14:paraId="4B266FB4" w14:textId="77777777" w:rsidR="00D1115E" w:rsidRPr="00EC1439" w:rsidRDefault="00D1115E" w:rsidP="00D1115E">
      <w:pPr>
        <w:rPr>
          <w:rFonts w:ascii="Arial" w:hAnsi="Arial" w:cs="Arial"/>
          <w:b/>
          <w:bCs/>
          <w:color w:val="0A4BB7"/>
          <w:sz w:val="20"/>
        </w:rPr>
      </w:pPr>
      <w:r w:rsidRPr="2F32B62D">
        <w:rPr>
          <w:rFonts w:ascii="Arial" w:hAnsi="Arial" w:cs="Arial"/>
          <w:b/>
          <w:bCs/>
          <w:color w:val="0A4BB7"/>
          <w:sz w:val="20"/>
        </w:rPr>
        <w:t>Our progress</w:t>
      </w:r>
    </w:p>
    <w:p w14:paraId="1C9819DE" w14:textId="77777777" w:rsidR="00D1115E" w:rsidRPr="00EC1439" w:rsidRDefault="00D1115E" w:rsidP="00D1115E">
      <w:pPr>
        <w:rPr>
          <w:rFonts w:ascii="Arial" w:hAnsi="Arial" w:cs="Arial"/>
          <w:sz w:val="20"/>
        </w:rPr>
      </w:pPr>
    </w:p>
    <w:p w14:paraId="12252C73" w14:textId="0C2BD024" w:rsidR="00D1115E" w:rsidRPr="00EC1439" w:rsidRDefault="00D1115E" w:rsidP="00D1115E">
      <w:pPr>
        <w:rPr>
          <w:rFonts w:ascii="Arial" w:hAnsi="Arial" w:cs="Arial"/>
          <w:sz w:val="20"/>
        </w:rPr>
      </w:pPr>
      <w:r w:rsidRPr="2F32B62D">
        <w:rPr>
          <w:rFonts w:ascii="Arial" w:hAnsi="Arial" w:cs="Arial"/>
          <w:sz w:val="20"/>
        </w:rPr>
        <w:t>This year our approach to the implementation of the Modern Slavery Act 2015  has included:</w:t>
      </w:r>
    </w:p>
    <w:p w14:paraId="3726E03D" w14:textId="77777777" w:rsidR="00D1115E" w:rsidRDefault="00D1115E" w:rsidP="00D1115E">
      <w:pPr>
        <w:rPr>
          <w:rFonts w:ascii="Arial" w:hAnsi="Arial" w:cs="Arial"/>
          <w:sz w:val="20"/>
        </w:rPr>
      </w:pPr>
    </w:p>
    <w:p w14:paraId="6975614B" w14:textId="7C9FB1A0" w:rsidR="00D1115E"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Contin</w:t>
      </w:r>
      <w:r>
        <w:rPr>
          <w:rFonts w:ascii="Arial" w:hAnsi="Arial" w:cs="Arial"/>
          <w:sz w:val="20"/>
        </w:rPr>
        <w:t>u</w:t>
      </w:r>
      <w:r w:rsidRPr="2F32B62D">
        <w:rPr>
          <w:rFonts w:ascii="Arial" w:hAnsi="Arial" w:cs="Arial"/>
          <w:sz w:val="20"/>
        </w:rPr>
        <w:t>ous improvement to our supplier onboarding process to ensure crucial due diligence is conducted</w:t>
      </w:r>
      <w:r>
        <w:rPr>
          <w:rFonts w:ascii="Arial" w:hAnsi="Arial" w:cs="Arial"/>
          <w:sz w:val="20"/>
        </w:rPr>
        <w:t xml:space="preserve"> including a refreshed Vendor Information Questionnaire, which includes an assessment of suppliers’ compliance to the Act</w:t>
      </w:r>
    </w:p>
    <w:p w14:paraId="572271FB" w14:textId="77777777" w:rsidR="00D1115E" w:rsidRDefault="00D1115E" w:rsidP="00BC45A9">
      <w:pPr>
        <w:rPr>
          <w:rFonts w:ascii="Arial" w:hAnsi="Arial" w:cs="Arial"/>
          <w:sz w:val="20"/>
        </w:rPr>
      </w:pPr>
    </w:p>
    <w:p w14:paraId="5F7B8E10" w14:textId="77777777" w:rsidR="00D1115E"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Review of Tier 1 and Tier 2 suppliers to ensure they have Modern Slavery Statements displayed on their homepage</w:t>
      </w:r>
    </w:p>
    <w:p w14:paraId="2205DA86" w14:textId="77777777" w:rsidR="00D1115E" w:rsidRDefault="00D1115E" w:rsidP="00D1115E">
      <w:pPr>
        <w:rPr>
          <w:rFonts w:ascii="Arial" w:hAnsi="Arial" w:cs="Arial"/>
          <w:sz w:val="20"/>
        </w:rPr>
      </w:pPr>
    </w:p>
    <w:p w14:paraId="559D10EF" w14:textId="77777777" w:rsidR="00D1115E"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Lloyd’s Supplier Business Assessment updated to include Diversity &amp; Inclusion and sustainable sourcing questions</w:t>
      </w:r>
      <w:r>
        <w:rPr>
          <w:rFonts w:ascii="Arial" w:hAnsi="Arial" w:cs="Arial"/>
          <w:sz w:val="20"/>
        </w:rPr>
        <w:t>.</w:t>
      </w:r>
    </w:p>
    <w:p w14:paraId="059F7AE4" w14:textId="77777777" w:rsidR="00D1115E" w:rsidRPr="00D870EC" w:rsidRDefault="00D1115E" w:rsidP="00D1115E">
      <w:pPr>
        <w:pStyle w:val="ListParagraph"/>
        <w:rPr>
          <w:rFonts w:ascii="Arial" w:hAnsi="Arial" w:cs="Arial"/>
          <w:sz w:val="20"/>
        </w:rPr>
      </w:pPr>
    </w:p>
    <w:p w14:paraId="523A3D0A" w14:textId="77777777" w:rsidR="00D1115E" w:rsidRPr="00D870EC" w:rsidRDefault="00D1115E" w:rsidP="00D1115E">
      <w:pPr>
        <w:pStyle w:val="ListParagraph"/>
        <w:numPr>
          <w:ilvl w:val="0"/>
          <w:numId w:val="47"/>
        </w:numPr>
        <w:ind w:left="317" w:hanging="283"/>
        <w:rPr>
          <w:rFonts w:ascii="Arial" w:hAnsi="Arial" w:cs="Arial"/>
          <w:sz w:val="20"/>
        </w:rPr>
      </w:pPr>
      <w:r w:rsidRPr="00D870EC">
        <w:rPr>
          <w:rFonts w:ascii="Arial" w:hAnsi="Arial" w:cs="Arial"/>
          <w:sz w:val="20"/>
        </w:rPr>
        <w:t>Investigating systems and software that enable increased visibility and robust supplier screening, due diligence and monitoring.</w:t>
      </w:r>
    </w:p>
    <w:p w14:paraId="1F449C06" w14:textId="77777777" w:rsidR="00D1115E" w:rsidRDefault="00D1115E" w:rsidP="00D1115E">
      <w:pPr>
        <w:rPr>
          <w:rFonts w:ascii="Arial" w:hAnsi="Arial" w:cs="Arial"/>
          <w:sz w:val="20"/>
        </w:rPr>
      </w:pPr>
    </w:p>
    <w:p w14:paraId="26226188" w14:textId="77777777" w:rsidR="00D1115E" w:rsidRDefault="00D1115E" w:rsidP="00D1115E">
      <w:pPr>
        <w:rPr>
          <w:rFonts w:ascii="Arial" w:hAnsi="Arial" w:cs="Arial"/>
          <w:sz w:val="20"/>
        </w:rPr>
      </w:pPr>
      <w:r w:rsidRPr="2F32B62D">
        <w:rPr>
          <w:rFonts w:ascii="Arial" w:hAnsi="Arial" w:cs="Arial"/>
          <w:sz w:val="20"/>
        </w:rPr>
        <w:t xml:space="preserve">- Continual review of our supplier contract templates to ensure that they remain fit for purpose.  </w:t>
      </w:r>
    </w:p>
    <w:p w14:paraId="10045F99" w14:textId="77777777" w:rsidR="00D1115E" w:rsidRDefault="00D1115E" w:rsidP="00BC45A9">
      <w:pPr>
        <w:pStyle w:val="ListParagraph"/>
        <w:ind w:left="317"/>
        <w:rPr>
          <w:rFonts w:ascii="Arial" w:hAnsi="Arial" w:cs="Arial"/>
          <w:sz w:val="20"/>
        </w:rPr>
      </w:pPr>
    </w:p>
    <w:p w14:paraId="12D4251C" w14:textId="77777777" w:rsidR="00D1115E" w:rsidRPr="00AE569A"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Updated the Lloyd’s Supplier Code of Conduct.</w:t>
      </w:r>
    </w:p>
    <w:p w14:paraId="6FA0634F" w14:textId="77777777" w:rsidR="00D1115E" w:rsidRDefault="00D1115E" w:rsidP="00D1115E">
      <w:pPr>
        <w:pStyle w:val="ListParagraph"/>
        <w:ind w:left="318"/>
        <w:rPr>
          <w:rFonts w:ascii="Arial" w:hAnsi="Arial" w:cs="Arial"/>
          <w:sz w:val="20"/>
        </w:rPr>
      </w:pPr>
    </w:p>
    <w:p w14:paraId="770EBA1E" w14:textId="26CF25B9" w:rsidR="00D1115E" w:rsidRDefault="00D1115E" w:rsidP="00D1115E">
      <w:pPr>
        <w:pStyle w:val="ListParagraph"/>
        <w:numPr>
          <w:ilvl w:val="0"/>
          <w:numId w:val="47"/>
        </w:numPr>
        <w:ind w:left="318" w:hanging="284"/>
        <w:rPr>
          <w:rFonts w:ascii="Arial" w:hAnsi="Arial" w:cs="Arial"/>
          <w:sz w:val="20"/>
        </w:rPr>
      </w:pPr>
      <w:r w:rsidRPr="2F32B62D">
        <w:rPr>
          <w:rFonts w:ascii="Arial" w:hAnsi="Arial" w:cs="Arial"/>
          <w:sz w:val="20"/>
        </w:rPr>
        <w:lastRenderedPageBreak/>
        <w:t>Improved dashboard reporting to drive transparency.</w:t>
      </w:r>
    </w:p>
    <w:p w14:paraId="7F654B1C" w14:textId="77777777" w:rsidR="00D1115E" w:rsidRPr="00D1115E" w:rsidRDefault="00D1115E" w:rsidP="00D1115E">
      <w:pPr>
        <w:pStyle w:val="ListParagraph"/>
        <w:rPr>
          <w:rFonts w:ascii="Arial" w:hAnsi="Arial" w:cs="Arial"/>
          <w:sz w:val="20"/>
        </w:rPr>
      </w:pPr>
    </w:p>
    <w:p w14:paraId="122D241C" w14:textId="5627EA11" w:rsidR="00D1115E" w:rsidRPr="007639F7"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Identified areas within our online training portfolio to be developed into e-learning to further raise awareness of modern slavery and human trafficking</w:t>
      </w:r>
      <w:r w:rsidR="00BC45A9">
        <w:rPr>
          <w:rFonts w:ascii="Arial" w:hAnsi="Arial" w:cs="Arial"/>
          <w:sz w:val="20"/>
        </w:rPr>
        <w:t>.</w:t>
      </w:r>
    </w:p>
    <w:p w14:paraId="2738026E" w14:textId="77777777" w:rsidR="00D1115E" w:rsidRPr="00BC45A9" w:rsidRDefault="00D1115E" w:rsidP="00BC45A9">
      <w:pPr>
        <w:rPr>
          <w:rFonts w:ascii="Arial" w:hAnsi="Arial" w:cs="Arial"/>
          <w:sz w:val="20"/>
        </w:rPr>
      </w:pPr>
    </w:p>
    <w:p w14:paraId="148AADBE" w14:textId="77777777" w:rsidR="00D1115E" w:rsidRPr="00D1115E" w:rsidRDefault="00D1115E" w:rsidP="00D1115E">
      <w:pPr>
        <w:rPr>
          <w:rFonts w:ascii="Arial" w:hAnsi="Arial" w:cs="Arial"/>
          <w:sz w:val="20"/>
        </w:rPr>
      </w:pPr>
    </w:p>
    <w:p w14:paraId="1D746FAB" w14:textId="77777777" w:rsidR="00D1115E" w:rsidRPr="00EC1439" w:rsidRDefault="00D1115E" w:rsidP="00D1115E">
      <w:pPr>
        <w:rPr>
          <w:rFonts w:ascii="Arial" w:hAnsi="Arial" w:cs="Arial"/>
          <w:b/>
          <w:color w:val="0A4BB7"/>
          <w:sz w:val="20"/>
        </w:rPr>
      </w:pPr>
      <w:r w:rsidRPr="00EC1439">
        <w:rPr>
          <w:rFonts w:ascii="Arial" w:hAnsi="Arial" w:cs="Arial"/>
          <w:b/>
          <w:color w:val="0A4BB7"/>
          <w:sz w:val="20"/>
        </w:rPr>
        <w:t>Next steps</w:t>
      </w:r>
    </w:p>
    <w:p w14:paraId="16ECA7E0" w14:textId="77777777" w:rsidR="00D1115E" w:rsidRPr="00EC1439" w:rsidRDefault="00D1115E" w:rsidP="00D1115E">
      <w:pPr>
        <w:rPr>
          <w:rFonts w:ascii="Arial" w:hAnsi="Arial" w:cs="Arial"/>
          <w:sz w:val="20"/>
        </w:rPr>
      </w:pPr>
    </w:p>
    <w:p w14:paraId="0FF0EB0F" w14:textId="77777777" w:rsidR="00D1115E" w:rsidRDefault="00D1115E" w:rsidP="00D1115E">
      <w:pPr>
        <w:rPr>
          <w:rFonts w:ascii="Arial" w:hAnsi="Arial" w:cs="Arial"/>
          <w:sz w:val="20"/>
        </w:rPr>
      </w:pPr>
      <w:r w:rsidRPr="00EC1439">
        <w:rPr>
          <w:rFonts w:ascii="Arial" w:hAnsi="Arial" w:cs="Arial"/>
          <w:sz w:val="20"/>
        </w:rPr>
        <w:t xml:space="preserve">We will continue to review our supply chain </w:t>
      </w:r>
      <w:r>
        <w:rPr>
          <w:rFonts w:ascii="Arial" w:hAnsi="Arial" w:cs="Arial"/>
          <w:sz w:val="20"/>
        </w:rPr>
        <w:t xml:space="preserve">policies and </w:t>
      </w:r>
      <w:r w:rsidRPr="00EC1439">
        <w:rPr>
          <w:rFonts w:ascii="Arial" w:hAnsi="Arial" w:cs="Arial"/>
          <w:sz w:val="20"/>
        </w:rPr>
        <w:t>protocols, developing specific measures to ensure that our obligations under the Act are disseminated through our supply chain. These measures will include:</w:t>
      </w:r>
    </w:p>
    <w:p w14:paraId="28765825" w14:textId="77777777" w:rsidR="00D1115E" w:rsidRPr="00EC1439" w:rsidRDefault="00D1115E" w:rsidP="00D1115E">
      <w:pPr>
        <w:rPr>
          <w:rFonts w:ascii="Arial" w:hAnsi="Arial" w:cs="Arial"/>
          <w:sz w:val="20"/>
        </w:rPr>
      </w:pPr>
    </w:p>
    <w:p w14:paraId="04134F1B" w14:textId="227674DE" w:rsidR="00D1115E" w:rsidRPr="00BC45A9" w:rsidRDefault="00D1115E" w:rsidP="00BC45A9">
      <w:pPr>
        <w:pStyle w:val="ListParagraph"/>
        <w:numPr>
          <w:ilvl w:val="0"/>
          <w:numId w:val="47"/>
        </w:numPr>
        <w:ind w:left="317" w:hanging="283"/>
        <w:rPr>
          <w:rFonts w:ascii="Arial" w:hAnsi="Arial" w:cs="Arial"/>
          <w:sz w:val="20"/>
        </w:rPr>
      </w:pPr>
      <w:r w:rsidRPr="2F32B62D">
        <w:rPr>
          <w:rFonts w:ascii="Arial" w:hAnsi="Arial" w:cs="Arial"/>
          <w:sz w:val="20"/>
        </w:rPr>
        <w:t>Continuing to identify new ways to strengthen our procurement processes.</w:t>
      </w:r>
    </w:p>
    <w:p w14:paraId="50B89B10" w14:textId="77777777" w:rsidR="00D1115E" w:rsidRPr="007A288B" w:rsidRDefault="00D1115E" w:rsidP="00D1115E">
      <w:pPr>
        <w:pStyle w:val="ListParagraph"/>
        <w:rPr>
          <w:rFonts w:ascii="Arial" w:hAnsi="Arial" w:cs="Arial"/>
          <w:sz w:val="20"/>
        </w:rPr>
      </w:pPr>
    </w:p>
    <w:p w14:paraId="55219BD7" w14:textId="7E119987" w:rsidR="00D1115E"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Continu</w:t>
      </w:r>
      <w:r>
        <w:rPr>
          <w:rFonts w:ascii="Arial" w:hAnsi="Arial" w:cs="Arial"/>
          <w:sz w:val="20"/>
        </w:rPr>
        <w:t>ing</w:t>
      </w:r>
      <w:r w:rsidRPr="2F32B62D">
        <w:rPr>
          <w:rFonts w:ascii="Arial" w:hAnsi="Arial" w:cs="Arial"/>
          <w:sz w:val="20"/>
        </w:rPr>
        <w:t xml:space="preserve"> to work  collaboratively with key insurance market participants to share best practice and extend the responsible business network.</w:t>
      </w:r>
    </w:p>
    <w:p w14:paraId="001306FC" w14:textId="77777777" w:rsidR="00D1115E" w:rsidRPr="00957505" w:rsidRDefault="00D1115E" w:rsidP="00BC45A9">
      <w:pPr>
        <w:pStyle w:val="ListParagraph"/>
        <w:ind w:left="317"/>
      </w:pPr>
    </w:p>
    <w:p w14:paraId="74FFA924" w14:textId="77777777" w:rsidR="00D1115E" w:rsidRDefault="00D1115E" w:rsidP="00D1115E">
      <w:pPr>
        <w:pStyle w:val="ListParagraph"/>
        <w:numPr>
          <w:ilvl w:val="0"/>
          <w:numId w:val="47"/>
        </w:numPr>
        <w:ind w:left="317" w:hanging="283"/>
        <w:rPr>
          <w:rFonts w:ascii="Arial" w:hAnsi="Arial" w:cs="Arial"/>
          <w:sz w:val="20"/>
        </w:rPr>
      </w:pPr>
      <w:r w:rsidRPr="2F32B62D">
        <w:rPr>
          <w:rFonts w:ascii="Arial" w:hAnsi="Arial" w:cs="Arial"/>
          <w:sz w:val="20"/>
        </w:rPr>
        <w:t>Continuing to safeguard whistle-blowers as outlined in the Corporations’ Consolidated Compliance Policy.</w:t>
      </w:r>
    </w:p>
    <w:p w14:paraId="0F08C1BE" w14:textId="77777777" w:rsidR="00D1115E" w:rsidRDefault="00D1115E" w:rsidP="00BC45A9">
      <w:pPr>
        <w:pStyle w:val="ListParagraph"/>
        <w:ind w:left="317"/>
        <w:rPr>
          <w:rFonts w:ascii="Arial" w:hAnsi="Arial" w:cs="Arial"/>
          <w:sz w:val="20"/>
        </w:rPr>
      </w:pPr>
    </w:p>
    <w:p w14:paraId="5B7D6834" w14:textId="77777777" w:rsidR="00D1115E" w:rsidRDefault="00D1115E" w:rsidP="00D1115E">
      <w:pPr>
        <w:pStyle w:val="ListParagraph"/>
        <w:numPr>
          <w:ilvl w:val="0"/>
          <w:numId w:val="47"/>
        </w:numPr>
        <w:ind w:left="317" w:hanging="283"/>
        <w:rPr>
          <w:rFonts w:ascii="Arial" w:hAnsi="Arial" w:cs="Arial"/>
          <w:sz w:val="20"/>
        </w:rPr>
      </w:pPr>
      <w:r w:rsidRPr="00BC45A9">
        <w:rPr>
          <w:rFonts w:ascii="Arial" w:hAnsi="Arial" w:cs="Arial"/>
          <w:sz w:val="20"/>
        </w:rPr>
        <w:t xml:space="preserve">Extend the supplier performance and risk management framework to include assessments of modern slavery risk.  </w:t>
      </w:r>
    </w:p>
    <w:p w14:paraId="751369E1" w14:textId="77777777" w:rsidR="00D1115E" w:rsidRPr="00BC45A9" w:rsidRDefault="00D1115E" w:rsidP="00BC45A9">
      <w:pPr>
        <w:pStyle w:val="ListParagraph"/>
        <w:ind w:left="317"/>
        <w:rPr>
          <w:rFonts w:ascii="Arial" w:hAnsi="Arial" w:cs="Arial"/>
          <w:sz w:val="20"/>
        </w:rPr>
      </w:pPr>
    </w:p>
    <w:p w14:paraId="271D0F2F" w14:textId="408AF799" w:rsidR="00D1115E" w:rsidRDefault="00D1115E" w:rsidP="00D1115E">
      <w:pPr>
        <w:rPr>
          <w:rFonts w:ascii="Arial" w:hAnsi="Arial" w:cs="Arial"/>
          <w:sz w:val="20"/>
        </w:rPr>
      </w:pPr>
      <w:r w:rsidRPr="2F32B62D">
        <w:rPr>
          <w:rFonts w:ascii="Arial" w:hAnsi="Arial" w:cs="Arial"/>
          <w:sz w:val="20"/>
        </w:rPr>
        <w:t>Conducting a review of tendering processes and technology to include a review of sustainable procurement mechanisms and due diligence</w:t>
      </w:r>
      <w:r>
        <w:rPr>
          <w:rFonts w:ascii="Arial" w:hAnsi="Arial" w:cs="Arial"/>
          <w:sz w:val="20"/>
        </w:rPr>
        <w:t>:</w:t>
      </w:r>
    </w:p>
    <w:p w14:paraId="20DC4CCA" w14:textId="77777777" w:rsidR="00D1115E" w:rsidRPr="0051742C" w:rsidRDefault="00D1115E" w:rsidP="00D1115E">
      <w:pPr>
        <w:pStyle w:val="ListParagraph"/>
        <w:ind w:left="0"/>
        <w:rPr>
          <w:rFonts w:ascii="Arial" w:hAnsi="Arial" w:cs="Arial"/>
          <w:sz w:val="20"/>
        </w:rPr>
      </w:pPr>
    </w:p>
    <w:p w14:paraId="11471CE1" w14:textId="05240CBE" w:rsidR="00D870EC" w:rsidRDefault="00D1115E" w:rsidP="00D1115E">
      <w:pPr>
        <w:rPr>
          <w:rFonts w:ascii="Arial" w:hAnsi="Arial" w:cs="Arial"/>
          <w:sz w:val="20"/>
        </w:rPr>
      </w:pPr>
      <w:r w:rsidRPr="2F32B62D">
        <w:rPr>
          <w:rFonts w:ascii="Arial" w:hAnsi="Arial" w:cs="Arial"/>
          <w:sz w:val="20"/>
        </w:rPr>
        <w:t xml:space="preserve">To assess what our key suppliers are doing with </w:t>
      </w:r>
      <w:r w:rsidRPr="2F32B62D">
        <w:rPr>
          <w:rFonts w:ascii="Arial" w:hAnsi="Arial" w:cs="Arial"/>
          <w:sz w:val="20"/>
        </w:rPr>
        <w:t>regards to developing their key teams, as well as our employees’</w:t>
      </w:r>
      <w:r>
        <w:rPr>
          <w:rFonts w:ascii="Arial" w:hAnsi="Arial" w:cs="Arial"/>
          <w:sz w:val="20"/>
        </w:rPr>
        <w:t xml:space="preserve"> </w:t>
      </w:r>
      <w:r w:rsidRPr="2F32B62D">
        <w:rPr>
          <w:rFonts w:ascii="Arial" w:hAnsi="Arial" w:cs="Arial"/>
          <w:sz w:val="20"/>
        </w:rPr>
        <w:t>knowledge and understanding of modern slavery and human trafficking and where appropriate develop an e-learning module</w:t>
      </w:r>
      <w:r>
        <w:rPr>
          <w:rFonts w:ascii="Arial" w:hAnsi="Arial" w:cs="Arial"/>
          <w:sz w:val="20"/>
        </w:rPr>
        <w:t>.</w:t>
      </w:r>
    </w:p>
    <w:p w14:paraId="53099370" w14:textId="316A154B" w:rsidR="00D1115E" w:rsidRDefault="00D1115E" w:rsidP="00D1115E">
      <w:pPr>
        <w:rPr>
          <w:rFonts w:ascii="Arial" w:hAnsi="Arial" w:cs="Arial"/>
          <w:sz w:val="20"/>
        </w:rPr>
      </w:pPr>
    </w:p>
    <w:p w14:paraId="4EBF7BD8" w14:textId="2E498412" w:rsidR="00D1115E" w:rsidRDefault="00D1115E" w:rsidP="00D1115E">
      <w:pPr>
        <w:rPr>
          <w:rFonts w:ascii="Arial" w:hAnsi="Arial" w:cs="Arial"/>
          <w:sz w:val="20"/>
        </w:rPr>
      </w:pPr>
      <w:r w:rsidRPr="2F32B62D">
        <w:rPr>
          <w:rFonts w:ascii="Arial" w:hAnsi="Arial" w:cs="Arial"/>
          <w:sz w:val="20"/>
        </w:rPr>
        <w:t>This statement is made pursuant to section 54(1) of the Modern Slavery Act 2015 and constitutes the Corporation of Lloyd’s slavery and human trafficking statement for the financial year ending 31 December 2022.</w:t>
      </w:r>
    </w:p>
    <w:p w14:paraId="4C582B1C" w14:textId="77777777" w:rsidR="00D1115E" w:rsidRDefault="00D1115E" w:rsidP="00D1115E">
      <w:pPr>
        <w:rPr>
          <w:rFonts w:ascii="Arial" w:hAnsi="Arial" w:cs="Arial"/>
          <w:sz w:val="20"/>
        </w:rPr>
      </w:pPr>
    </w:p>
    <w:p w14:paraId="168F1D4C" w14:textId="77777777" w:rsidR="00D1115E" w:rsidRDefault="00D1115E" w:rsidP="00D1115E">
      <w:pPr>
        <w:rPr>
          <w:rFonts w:ascii="Arial" w:hAnsi="Arial" w:cs="Arial"/>
          <w:sz w:val="20"/>
        </w:rPr>
      </w:pPr>
    </w:p>
    <w:p w14:paraId="658C453E" w14:textId="75DF6569" w:rsidR="000F177A" w:rsidRDefault="00FE6ACB" w:rsidP="00D1115E">
      <w:pPr>
        <w:rPr>
          <w:rFonts w:ascii="Arial" w:hAnsi="Arial" w:cs="Arial"/>
          <w:sz w:val="20"/>
        </w:rPr>
      </w:pPr>
      <w:r>
        <w:rPr>
          <w:noProof/>
        </w:rPr>
        <w:drawing>
          <wp:inline distT="0" distB="0" distL="0" distR="0" wp14:anchorId="0A1CA119" wp14:editId="075CE539">
            <wp:extent cx="1444344" cy="74143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912" cy="762774"/>
                    </a:xfrm>
                    <a:prstGeom prst="rect">
                      <a:avLst/>
                    </a:prstGeom>
                    <a:noFill/>
                    <a:ln>
                      <a:noFill/>
                    </a:ln>
                  </pic:spPr>
                </pic:pic>
              </a:graphicData>
            </a:graphic>
          </wp:inline>
        </w:drawing>
      </w:r>
    </w:p>
    <w:p w14:paraId="16425286" w14:textId="77777777" w:rsidR="00FE6ACB" w:rsidRDefault="00FE6ACB" w:rsidP="00D1115E">
      <w:pPr>
        <w:rPr>
          <w:rFonts w:ascii="Arial" w:hAnsi="Arial" w:cs="Arial"/>
          <w:sz w:val="20"/>
        </w:rPr>
      </w:pPr>
    </w:p>
    <w:p w14:paraId="353AC28D" w14:textId="77777777" w:rsidR="000F177A" w:rsidRPr="000F177A" w:rsidRDefault="000F177A" w:rsidP="00D1115E">
      <w:pPr>
        <w:rPr>
          <w:rFonts w:ascii="Arial" w:hAnsi="Arial" w:cs="Arial"/>
          <w:b/>
          <w:bCs/>
          <w:sz w:val="20"/>
        </w:rPr>
      </w:pPr>
      <w:r w:rsidRPr="000F177A">
        <w:rPr>
          <w:rFonts w:ascii="Arial" w:hAnsi="Arial" w:cs="Arial"/>
          <w:b/>
          <w:bCs/>
          <w:sz w:val="20"/>
        </w:rPr>
        <w:t xml:space="preserve">Sara Gomez, Chief People Officer, </w:t>
      </w:r>
    </w:p>
    <w:p w14:paraId="3F2BD957" w14:textId="3AA93ED3" w:rsidR="000F177A" w:rsidRPr="000F177A" w:rsidRDefault="000F177A" w:rsidP="00D1115E">
      <w:pPr>
        <w:rPr>
          <w:rFonts w:ascii="Arial" w:hAnsi="Arial" w:cs="Arial"/>
          <w:b/>
          <w:bCs/>
          <w:sz w:val="20"/>
        </w:rPr>
        <w:sectPr w:rsidR="000F177A" w:rsidRPr="000F177A" w:rsidSect="00D1115E">
          <w:type w:val="continuous"/>
          <w:pgSz w:w="11907" w:h="16840" w:code="9"/>
          <w:pgMar w:top="1440" w:right="1440" w:bottom="709" w:left="1440" w:header="720" w:footer="720" w:gutter="0"/>
          <w:cols w:num="3" w:space="720"/>
        </w:sectPr>
      </w:pPr>
      <w:r w:rsidRPr="000F177A">
        <w:rPr>
          <w:rFonts w:ascii="Arial" w:hAnsi="Arial" w:cs="Arial"/>
          <w:b/>
          <w:bCs/>
          <w:sz w:val="20"/>
        </w:rPr>
        <w:t>February 2023</w:t>
      </w:r>
    </w:p>
    <w:p w14:paraId="4DBF9D69" w14:textId="22FEF34C" w:rsidR="00D1115E" w:rsidRDefault="00D1115E" w:rsidP="00D1115E">
      <w:pPr>
        <w:rPr>
          <w:rFonts w:ascii="Arial" w:hAnsi="Arial" w:cs="Arial"/>
          <w:sz w:val="20"/>
        </w:rPr>
      </w:pPr>
    </w:p>
    <w:p w14:paraId="29C87EAE" w14:textId="77777777" w:rsidR="00D1115E" w:rsidRPr="00EC1439" w:rsidRDefault="00D1115E" w:rsidP="00D1115E">
      <w:pPr>
        <w:rPr>
          <w:rFonts w:ascii="Arial" w:hAnsi="Arial" w:cs="Arial"/>
          <w:sz w:val="20"/>
        </w:rPr>
      </w:pPr>
    </w:p>
    <w:sectPr w:rsidR="00D1115E" w:rsidRPr="00EC1439" w:rsidSect="00D1115E">
      <w:type w:val="continuous"/>
      <w:pgSz w:w="11907" w:h="16840" w:code="9"/>
      <w:pgMar w:top="1440"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28CF" w14:textId="77777777" w:rsidR="00E95231" w:rsidRDefault="00E95231" w:rsidP="00EC1439">
      <w:r>
        <w:separator/>
      </w:r>
    </w:p>
  </w:endnote>
  <w:endnote w:type="continuationSeparator" w:id="0">
    <w:p w14:paraId="2455328E" w14:textId="77777777" w:rsidR="00E95231" w:rsidRDefault="00E95231" w:rsidP="00EC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761F" w14:textId="77777777" w:rsidR="00726AEA" w:rsidRDefault="00726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1850" w14:textId="7C5E6A2E" w:rsidR="00195E14" w:rsidRDefault="0019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448" w14:textId="77777777" w:rsidR="00726AEA" w:rsidRDefault="0072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59A7" w14:textId="77777777" w:rsidR="00E95231" w:rsidRDefault="00E95231" w:rsidP="00EC1439">
      <w:r>
        <w:separator/>
      </w:r>
    </w:p>
  </w:footnote>
  <w:footnote w:type="continuationSeparator" w:id="0">
    <w:p w14:paraId="29DF2032" w14:textId="77777777" w:rsidR="00E95231" w:rsidRDefault="00E95231" w:rsidP="00EC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EE7B" w14:textId="77777777" w:rsidR="00726AEA" w:rsidRDefault="00726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3AA1" w14:textId="0AE2FD99" w:rsidR="00EC1439" w:rsidRDefault="00EC1439">
    <w:pPr>
      <w:pStyle w:val="Header"/>
    </w:pPr>
    <w:r>
      <w:rPr>
        <w:noProof/>
      </w:rPr>
      <w:drawing>
        <wp:anchor distT="0" distB="0" distL="114300" distR="114300" simplePos="0" relativeHeight="251661312" behindDoc="0" locked="0" layoutInCell="1" allowOverlap="1" wp14:anchorId="489960C8" wp14:editId="3F22B99D">
          <wp:simplePos x="0" y="0"/>
          <wp:positionH relativeFrom="column">
            <wp:posOffset>-475615</wp:posOffset>
          </wp:positionH>
          <wp:positionV relativeFrom="paragraph">
            <wp:posOffset>-457200</wp:posOffset>
          </wp:positionV>
          <wp:extent cx="1028700" cy="4108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oyds_Logo_Standard_Black_NoBleed.jpg"/>
                  <pic:cNvPicPr/>
                </pic:nvPicPr>
                <pic:blipFill>
                  <a:blip r:embed="rId1">
                    <a:extLst>
                      <a:ext uri="{28A0092B-C50C-407E-A947-70E740481C1C}">
                        <a14:useLocalDpi xmlns:a14="http://schemas.microsoft.com/office/drawing/2010/main" val="0"/>
                      </a:ext>
                    </a:extLst>
                  </a:blip>
                  <a:stretch>
                    <a:fillRect/>
                  </a:stretch>
                </pic:blipFill>
                <pic:spPr>
                  <a:xfrm>
                    <a:off x="0" y="0"/>
                    <a:ext cx="1028700" cy="4108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2379786" wp14:editId="19BCC134">
              <wp:simplePos x="0" y="0"/>
              <wp:positionH relativeFrom="column">
                <wp:posOffset>-476251</wp:posOffset>
              </wp:positionH>
              <wp:positionV relativeFrom="paragraph">
                <wp:posOffset>53340</wp:posOffset>
              </wp:positionV>
              <wp:extent cx="671512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03985"/>
                      </a:xfrm>
                      <a:prstGeom prst="rect">
                        <a:avLst/>
                      </a:prstGeom>
                      <a:solidFill>
                        <a:srgbClr val="1E35BF"/>
                      </a:solidFill>
                      <a:ln w="9525">
                        <a:noFill/>
                        <a:miter lim="800000"/>
                        <a:headEnd/>
                        <a:tailEnd/>
                      </a:ln>
                    </wps:spPr>
                    <wps:txbx>
                      <w:txbxContent>
                        <w:p w14:paraId="5CDACF80" w14:textId="77777777" w:rsidR="00EC1439" w:rsidRDefault="00EC1439" w:rsidP="00EC1439">
                          <w:pPr>
                            <w:rPr>
                              <w:rFonts w:ascii="Arial" w:hAnsi="Arial" w:cs="Arial"/>
                              <w:b/>
                              <w:color w:val="FFFFFF" w:themeColor="background1"/>
                              <w:sz w:val="40"/>
                              <w:szCs w:val="40"/>
                            </w:rPr>
                          </w:pPr>
                        </w:p>
                        <w:p w14:paraId="5157387E" w14:textId="77777777" w:rsidR="00EC1439" w:rsidRDefault="00EC1439" w:rsidP="00EC1439">
                          <w:pPr>
                            <w:rPr>
                              <w:rFonts w:ascii="Arial" w:hAnsi="Arial" w:cs="Arial"/>
                              <w:b/>
                              <w:color w:val="FFFFFF" w:themeColor="background1"/>
                              <w:sz w:val="40"/>
                              <w:szCs w:val="40"/>
                            </w:rPr>
                          </w:pPr>
                        </w:p>
                        <w:p w14:paraId="1A1F0F32" w14:textId="77777777" w:rsidR="00143ABE" w:rsidRDefault="00143ABE" w:rsidP="00EC1439">
                          <w:pPr>
                            <w:rPr>
                              <w:rFonts w:ascii="Arial" w:hAnsi="Arial" w:cs="Arial"/>
                              <w:b/>
                              <w:color w:val="FFFFFF" w:themeColor="background1"/>
                              <w:sz w:val="40"/>
                              <w:szCs w:val="40"/>
                            </w:rPr>
                          </w:pPr>
                        </w:p>
                        <w:p w14:paraId="3496A757" w14:textId="77777777" w:rsidR="002F5CFA" w:rsidRDefault="002F5CFA" w:rsidP="00EC1439">
                          <w:pPr>
                            <w:rPr>
                              <w:rFonts w:ascii="Arial" w:hAnsi="Arial" w:cs="Arial"/>
                              <w:b/>
                              <w:color w:val="FFFFFF" w:themeColor="background1"/>
                              <w:sz w:val="40"/>
                              <w:szCs w:val="40"/>
                            </w:rPr>
                          </w:pPr>
                        </w:p>
                        <w:p w14:paraId="129E7499" w14:textId="555C780F" w:rsidR="00EC1439" w:rsidRPr="00111976" w:rsidRDefault="00EC1439" w:rsidP="00EC1439">
                          <w:pPr>
                            <w:rPr>
                              <w:sz w:val="40"/>
                              <w:szCs w:val="40"/>
                            </w:rPr>
                          </w:pPr>
                          <w:r w:rsidRPr="00111976">
                            <w:rPr>
                              <w:rFonts w:ascii="Arial" w:hAnsi="Arial" w:cs="Arial"/>
                              <w:b/>
                              <w:color w:val="FFFFFF" w:themeColor="background1"/>
                              <w:sz w:val="40"/>
                              <w:szCs w:val="40"/>
                            </w:rPr>
                            <w:t>Modern Slavery Act</w:t>
                          </w:r>
                          <w:r w:rsidR="00143ABE">
                            <w:rPr>
                              <w:rFonts w:ascii="Arial" w:hAnsi="Arial" w:cs="Arial"/>
                              <w:b/>
                              <w:color w:val="FFFFFF" w:themeColor="background1"/>
                              <w:sz w:val="40"/>
                              <w:szCs w:val="40"/>
                            </w:rPr>
                            <w:t xml:space="preserve"> </w:t>
                          </w:r>
                          <w:r w:rsidRPr="00143ABE">
                            <w:rPr>
                              <w:rFonts w:ascii="Arial" w:hAnsi="Arial" w:cs="Arial"/>
                              <w:b/>
                              <w:color w:val="FFFFFF" w:themeColor="background1"/>
                              <w:sz w:val="40"/>
                              <w:szCs w:val="40"/>
                            </w:rPr>
                            <w:t>Statement</w:t>
                          </w:r>
                          <w:r w:rsidR="00440FF4">
                            <w:rPr>
                              <w:rFonts w:ascii="Arial" w:hAnsi="Arial" w:cs="Arial"/>
                              <w:b/>
                              <w:color w:val="FFFFFF" w:themeColor="background1"/>
                              <w:sz w:val="40"/>
                              <w:szCs w:val="40"/>
                            </w:rPr>
                            <w:t xml:space="preserve"> 202</w:t>
                          </w:r>
                          <w:r w:rsidR="00B77B47">
                            <w:rPr>
                              <w:rFonts w:ascii="Arial" w:hAnsi="Arial" w:cs="Arial"/>
                              <w:b/>
                              <w:color w:val="FFFFFF" w:themeColor="background1"/>
                              <w:sz w:val="40"/>
                              <w:szCs w:val="40"/>
                            </w:rPr>
                            <w:t>2</w:t>
                          </w:r>
                        </w:p>
                        <w:p w14:paraId="63EBC9B4" w14:textId="77777777" w:rsidR="00261D4E" w:rsidRDefault="00261D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79786" id="_x0000_t202" coordsize="21600,21600" o:spt="202" path="m,l,21600r21600,l21600,xe">
              <v:stroke joinstyle="miter"/>
              <v:path gradientshapeok="t" o:connecttype="rect"/>
            </v:shapetype>
            <v:shape id="Text Box 2" o:spid="_x0000_s1026" type="#_x0000_t202" style="position:absolute;margin-left:-37.5pt;margin-top:4.2pt;width:52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" fillcolor="#1e35bf" stroked="f">
              <v:textbox style="mso-fit-shape-to-text:t">
                <w:txbxContent>
                  <w:p w14:paraId="5CDACF80" w14:textId="77777777" w:rsidR="00EC1439" w:rsidRDefault="00EC1439" w:rsidP="00EC1439">
                    <w:pPr>
                      <w:rPr>
                        <w:rFonts w:ascii="Arial" w:hAnsi="Arial" w:cs="Arial"/>
                        <w:b/>
                        <w:color w:val="FFFFFF" w:themeColor="background1"/>
                        <w:sz w:val="40"/>
                        <w:szCs w:val="40"/>
                      </w:rPr>
                    </w:pPr>
                  </w:p>
                  <w:p w14:paraId="5157387E" w14:textId="77777777" w:rsidR="00EC1439" w:rsidRDefault="00EC1439" w:rsidP="00EC1439">
                    <w:pPr>
                      <w:rPr>
                        <w:rFonts w:ascii="Arial" w:hAnsi="Arial" w:cs="Arial"/>
                        <w:b/>
                        <w:color w:val="FFFFFF" w:themeColor="background1"/>
                        <w:sz w:val="40"/>
                        <w:szCs w:val="40"/>
                      </w:rPr>
                    </w:pPr>
                  </w:p>
                  <w:p w14:paraId="1A1F0F32" w14:textId="77777777" w:rsidR="00143ABE" w:rsidRDefault="00143ABE" w:rsidP="00EC1439">
                    <w:pPr>
                      <w:rPr>
                        <w:rFonts w:ascii="Arial" w:hAnsi="Arial" w:cs="Arial"/>
                        <w:b/>
                        <w:color w:val="FFFFFF" w:themeColor="background1"/>
                        <w:sz w:val="40"/>
                        <w:szCs w:val="40"/>
                      </w:rPr>
                    </w:pPr>
                  </w:p>
                  <w:p w14:paraId="3496A757" w14:textId="77777777" w:rsidR="002F5CFA" w:rsidRDefault="002F5CFA" w:rsidP="00EC1439">
                    <w:pPr>
                      <w:rPr>
                        <w:rFonts w:ascii="Arial" w:hAnsi="Arial" w:cs="Arial"/>
                        <w:b/>
                        <w:color w:val="FFFFFF" w:themeColor="background1"/>
                        <w:sz w:val="40"/>
                        <w:szCs w:val="40"/>
                      </w:rPr>
                    </w:pPr>
                  </w:p>
                  <w:p w14:paraId="129E7499" w14:textId="555C780F" w:rsidR="00EC1439" w:rsidRPr="00111976" w:rsidRDefault="00EC1439" w:rsidP="00EC1439">
                    <w:pPr>
                      <w:rPr>
                        <w:sz w:val="40"/>
                        <w:szCs w:val="40"/>
                      </w:rPr>
                    </w:pPr>
                    <w:r w:rsidRPr="00111976">
                      <w:rPr>
                        <w:rFonts w:ascii="Arial" w:hAnsi="Arial" w:cs="Arial"/>
                        <w:b/>
                        <w:color w:val="FFFFFF" w:themeColor="background1"/>
                        <w:sz w:val="40"/>
                        <w:szCs w:val="40"/>
                      </w:rPr>
                      <w:t>Modern Slavery Act</w:t>
                    </w:r>
                    <w:r w:rsidR="00143ABE">
                      <w:rPr>
                        <w:rFonts w:ascii="Arial" w:hAnsi="Arial" w:cs="Arial"/>
                        <w:b/>
                        <w:color w:val="FFFFFF" w:themeColor="background1"/>
                        <w:sz w:val="40"/>
                        <w:szCs w:val="40"/>
                      </w:rPr>
                      <w:t xml:space="preserve"> </w:t>
                    </w:r>
                    <w:r w:rsidRPr="00143ABE">
                      <w:rPr>
                        <w:rFonts w:ascii="Arial" w:hAnsi="Arial" w:cs="Arial"/>
                        <w:b/>
                        <w:color w:val="FFFFFF" w:themeColor="background1"/>
                        <w:sz w:val="40"/>
                        <w:szCs w:val="40"/>
                      </w:rPr>
                      <w:t>Statement</w:t>
                    </w:r>
                    <w:r w:rsidR="00440FF4">
                      <w:rPr>
                        <w:rFonts w:ascii="Arial" w:hAnsi="Arial" w:cs="Arial"/>
                        <w:b/>
                        <w:color w:val="FFFFFF" w:themeColor="background1"/>
                        <w:sz w:val="40"/>
                        <w:szCs w:val="40"/>
                      </w:rPr>
                      <w:t xml:space="preserve"> 202</w:t>
                    </w:r>
                    <w:r w:rsidR="00B77B47">
                      <w:rPr>
                        <w:rFonts w:ascii="Arial" w:hAnsi="Arial" w:cs="Arial"/>
                        <w:b/>
                        <w:color w:val="FFFFFF" w:themeColor="background1"/>
                        <w:sz w:val="40"/>
                        <w:szCs w:val="40"/>
                      </w:rPr>
                      <w:t>2</w:t>
                    </w:r>
                  </w:p>
                  <w:p w14:paraId="63EBC9B4" w14:textId="77777777" w:rsidR="00261D4E" w:rsidRDefault="00261D4E"/>
                </w:txbxContent>
              </v:textbox>
            </v:shape>
          </w:pict>
        </mc:Fallback>
      </mc:AlternateContent>
    </w:r>
  </w:p>
  <w:p w14:paraId="7DD51CF5" w14:textId="77777777" w:rsidR="00EC1439" w:rsidRDefault="00EC1439">
    <w:pPr>
      <w:pStyle w:val="Header"/>
    </w:pPr>
  </w:p>
  <w:p w14:paraId="73C4E779" w14:textId="77777777" w:rsidR="00EC1439" w:rsidRDefault="00EC1439">
    <w:pPr>
      <w:pStyle w:val="Header"/>
    </w:pPr>
  </w:p>
  <w:p w14:paraId="63F1128D" w14:textId="77777777" w:rsidR="00EC1439" w:rsidRDefault="00EC1439">
    <w:pPr>
      <w:pStyle w:val="Header"/>
    </w:pPr>
  </w:p>
  <w:p w14:paraId="3261A655" w14:textId="77777777" w:rsidR="00EC1439" w:rsidRDefault="00EC1439">
    <w:pPr>
      <w:pStyle w:val="Header"/>
    </w:pPr>
  </w:p>
  <w:p w14:paraId="6736CF10" w14:textId="77777777" w:rsidR="00EC1439" w:rsidRDefault="00EC1439">
    <w:pPr>
      <w:pStyle w:val="Header"/>
    </w:pPr>
  </w:p>
  <w:p w14:paraId="3CB27DE4" w14:textId="77777777" w:rsidR="00EC1439" w:rsidRDefault="00EC1439">
    <w:pPr>
      <w:pStyle w:val="Header"/>
    </w:pPr>
  </w:p>
  <w:p w14:paraId="26946EF1" w14:textId="77777777" w:rsidR="00EC1439" w:rsidRDefault="00EC1439">
    <w:pPr>
      <w:pStyle w:val="Header"/>
    </w:pPr>
  </w:p>
  <w:p w14:paraId="2770E899" w14:textId="77777777" w:rsidR="00EC1439" w:rsidRDefault="00EC1439">
    <w:pPr>
      <w:pStyle w:val="Header"/>
    </w:pPr>
  </w:p>
  <w:p w14:paraId="3197EF47" w14:textId="77777777" w:rsidR="00EC1439" w:rsidRDefault="00EC1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72BA" w14:textId="77777777" w:rsidR="00726AEA" w:rsidRDefault="00726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28D1FBA"/>
    <w:multiLevelType w:val="hybridMultilevel"/>
    <w:tmpl w:val="D5362BE2"/>
    <w:lvl w:ilvl="0" w:tplc="06EE3966">
      <w:start w:val="1"/>
      <w:numFmt w:val="bullet"/>
      <w:lvlText w:val="-"/>
      <w:lvlJc w:val="left"/>
      <w:pPr>
        <w:ind w:left="720" w:hanging="360"/>
      </w:pPr>
      <w:rPr>
        <w:rFonts w:ascii="Calibri" w:hAnsi="Calibri" w:hint="default"/>
      </w:rPr>
    </w:lvl>
    <w:lvl w:ilvl="1" w:tplc="702CE7FA">
      <w:start w:val="1"/>
      <w:numFmt w:val="bullet"/>
      <w:lvlText w:val="o"/>
      <w:lvlJc w:val="left"/>
      <w:pPr>
        <w:ind w:left="1440" w:hanging="360"/>
      </w:pPr>
      <w:rPr>
        <w:rFonts w:ascii="Courier New" w:hAnsi="Courier New" w:hint="default"/>
      </w:rPr>
    </w:lvl>
    <w:lvl w:ilvl="2" w:tplc="0BBECA44">
      <w:start w:val="1"/>
      <w:numFmt w:val="bullet"/>
      <w:lvlText w:val=""/>
      <w:lvlJc w:val="left"/>
      <w:pPr>
        <w:ind w:left="2160" w:hanging="360"/>
      </w:pPr>
      <w:rPr>
        <w:rFonts w:ascii="Wingdings" w:hAnsi="Wingdings" w:hint="default"/>
      </w:rPr>
    </w:lvl>
    <w:lvl w:ilvl="3" w:tplc="26C486E6">
      <w:start w:val="1"/>
      <w:numFmt w:val="bullet"/>
      <w:lvlText w:val=""/>
      <w:lvlJc w:val="left"/>
      <w:pPr>
        <w:ind w:left="2880" w:hanging="360"/>
      </w:pPr>
      <w:rPr>
        <w:rFonts w:ascii="Symbol" w:hAnsi="Symbol" w:hint="default"/>
      </w:rPr>
    </w:lvl>
    <w:lvl w:ilvl="4" w:tplc="A00A3104">
      <w:start w:val="1"/>
      <w:numFmt w:val="bullet"/>
      <w:lvlText w:val="o"/>
      <w:lvlJc w:val="left"/>
      <w:pPr>
        <w:ind w:left="3600" w:hanging="360"/>
      </w:pPr>
      <w:rPr>
        <w:rFonts w:ascii="Courier New" w:hAnsi="Courier New" w:hint="default"/>
      </w:rPr>
    </w:lvl>
    <w:lvl w:ilvl="5" w:tplc="B35EA55C">
      <w:start w:val="1"/>
      <w:numFmt w:val="bullet"/>
      <w:lvlText w:val=""/>
      <w:lvlJc w:val="left"/>
      <w:pPr>
        <w:ind w:left="4320" w:hanging="360"/>
      </w:pPr>
      <w:rPr>
        <w:rFonts w:ascii="Wingdings" w:hAnsi="Wingdings" w:hint="default"/>
      </w:rPr>
    </w:lvl>
    <w:lvl w:ilvl="6" w:tplc="3C0ACADC">
      <w:start w:val="1"/>
      <w:numFmt w:val="bullet"/>
      <w:lvlText w:val=""/>
      <w:lvlJc w:val="left"/>
      <w:pPr>
        <w:ind w:left="5040" w:hanging="360"/>
      </w:pPr>
      <w:rPr>
        <w:rFonts w:ascii="Symbol" w:hAnsi="Symbol" w:hint="default"/>
      </w:rPr>
    </w:lvl>
    <w:lvl w:ilvl="7" w:tplc="F946BC82">
      <w:start w:val="1"/>
      <w:numFmt w:val="bullet"/>
      <w:lvlText w:val="o"/>
      <w:lvlJc w:val="left"/>
      <w:pPr>
        <w:ind w:left="5760" w:hanging="360"/>
      </w:pPr>
      <w:rPr>
        <w:rFonts w:ascii="Courier New" w:hAnsi="Courier New" w:hint="default"/>
      </w:rPr>
    </w:lvl>
    <w:lvl w:ilvl="8" w:tplc="611028DE">
      <w:start w:val="1"/>
      <w:numFmt w:val="bullet"/>
      <w:lvlText w:val=""/>
      <w:lvlJc w:val="left"/>
      <w:pPr>
        <w:ind w:left="6480" w:hanging="360"/>
      </w:pPr>
      <w:rPr>
        <w:rFonts w:ascii="Wingdings" w:hAnsi="Wingdings" w:hint="default"/>
      </w:rPr>
    </w:lvl>
  </w:abstractNum>
  <w:abstractNum w:abstractNumId="3"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F348829"/>
    <w:multiLevelType w:val="hybridMultilevel"/>
    <w:tmpl w:val="4ADEAD86"/>
    <w:lvl w:ilvl="0" w:tplc="76CAAA68">
      <w:start w:val="1"/>
      <w:numFmt w:val="bullet"/>
      <w:lvlText w:val="-"/>
      <w:lvlJc w:val="left"/>
      <w:pPr>
        <w:ind w:left="720" w:hanging="360"/>
      </w:pPr>
      <w:rPr>
        <w:rFonts w:ascii="Calibri" w:hAnsi="Calibri" w:hint="default"/>
      </w:rPr>
    </w:lvl>
    <w:lvl w:ilvl="1" w:tplc="08085B06">
      <w:start w:val="1"/>
      <w:numFmt w:val="bullet"/>
      <w:lvlText w:val="o"/>
      <w:lvlJc w:val="left"/>
      <w:pPr>
        <w:ind w:left="1440" w:hanging="360"/>
      </w:pPr>
      <w:rPr>
        <w:rFonts w:ascii="Courier New" w:hAnsi="Courier New" w:hint="default"/>
      </w:rPr>
    </w:lvl>
    <w:lvl w:ilvl="2" w:tplc="610A1D1E">
      <w:start w:val="1"/>
      <w:numFmt w:val="bullet"/>
      <w:lvlText w:val=""/>
      <w:lvlJc w:val="left"/>
      <w:pPr>
        <w:ind w:left="2160" w:hanging="360"/>
      </w:pPr>
      <w:rPr>
        <w:rFonts w:ascii="Wingdings" w:hAnsi="Wingdings" w:hint="default"/>
      </w:rPr>
    </w:lvl>
    <w:lvl w:ilvl="3" w:tplc="9148EDAC">
      <w:start w:val="1"/>
      <w:numFmt w:val="bullet"/>
      <w:lvlText w:val=""/>
      <w:lvlJc w:val="left"/>
      <w:pPr>
        <w:ind w:left="2880" w:hanging="360"/>
      </w:pPr>
      <w:rPr>
        <w:rFonts w:ascii="Symbol" w:hAnsi="Symbol" w:hint="default"/>
      </w:rPr>
    </w:lvl>
    <w:lvl w:ilvl="4" w:tplc="9FF4D9D0">
      <w:start w:val="1"/>
      <w:numFmt w:val="bullet"/>
      <w:lvlText w:val="o"/>
      <w:lvlJc w:val="left"/>
      <w:pPr>
        <w:ind w:left="3600" w:hanging="360"/>
      </w:pPr>
      <w:rPr>
        <w:rFonts w:ascii="Courier New" w:hAnsi="Courier New" w:hint="default"/>
      </w:rPr>
    </w:lvl>
    <w:lvl w:ilvl="5" w:tplc="93662396">
      <w:start w:val="1"/>
      <w:numFmt w:val="bullet"/>
      <w:lvlText w:val=""/>
      <w:lvlJc w:val="left"/>
      <w:pPr>
        <w:ind w:left="4320" w:hanging="360"/>
      </w:pPr>
      <w:rPr>
        <w:rFonts w:ascii="Wingdings" w:hAnsi="Wingdings" w:hint="default"/>
      </w:rPr>
    </w:lvl>
    <w:lvl w:ilvl="6" w:tplc="7E005112">
      <w:start w:val="1"/>
      <w:numFmt w:val="bullet"/>
      <w:lvlText w:val=""/>
      <w:lvlJc w:val="left"/>
      <w:pPr>
        <w:ind w:left="5040" w:hanging="360"/>
      </w:pPr>
      <w:rPr>
        <w:rFonts w:ascii="Symbol" w:hAnsi="Symbol" w:hint="default"/>
      </w:rPr>
    </w:lvl>
    <w:lvl w:ilvl="7" w:tplc="892E1B86">
      <w:start w:val="1"/>
      <w:numFmt w:val="bullet"/>
      <w:lvlText w:val="o"/>
      <w:lvlJc w:val="left"/>
      <w:pPr>
        <w:ind w:left="5760" w:hanging="360"/>
      </w:pPr>
      <w:rPr>
        <w:rFonts w:ascii="Courier New" w:hAnsi="Courier New" w:hint="default"/>
      </w:rPr>
    </w:lvl>
    <w:lvl w:ilvl="8" w:tplc="53960046">
      <w:start w:val="1"/>
      <w:numFmt w:val="bullet"/>
      <w:lvlText w:val=""/>
      <w:lvlJc w:val="left"/>
      <w:pPr>
        <w:ind w:left="6480" w:hanging="360"/>
      </w:pPr>
      <w:rPr>
        <w:rFonts w:ascii="Wingdings" w:hAnsi="Wingdings" w:hint="default"/>
      </w:rPr>
    </w:lvl>
  </w:abstractNum>
  <w:abstractNum w:abstractNumId="5" w15:restartNumberingAfterBreak="0">
    <w:nsid w:val="2FBEC673"/>
    <w:multiLevelType w:val="hybridMultilevel"/>
    <w:tmpl w:val="50148B58"/>
    <w:lvl w:ilvl="0" w:tplc="3C4C8ECC">
      <w:start w:val="1"/>
      <w:numFmt w:val="bullet"/>
      <w:lvlText w:val="-"/>
      <w:lvlJc w:val="left"/>
      <w:pPr>
        <w:ind w:left="720" w:hanging="360"/>
      </w:pPr>
      <w:rPr>
        <w:rFonts w:ascii="Calibri" w:hAnsi="Calibri" w:hint="default"/>
      </w:rPr>
    </w:lvl>
    <w:lvl w:ilvl="1" w:tplc="93FA4EEA">
      <w:start w:val="1"/>
      <w:numFmt w:val="bullet"/>
      <w:lvlText w:val="o"/>
      <w:lvlJc w:val="left"/>
      <w:pPr>
        <w:ind w:left="1440" w:hanging="360"/>
      </w:pPr>
      <w:rPr>
        <w:rFonts w:ascii="Courier New" w:hAnsi="Courier New" w:hint="default"/>
      </w:rPr>
    </w:lvl>
    <w:lvl w:ilvl="2" w:tplc="C264F21E">
      <w:start w:val="1"/>
      <w:numFmt w:val="bullet"/>
      <w:lvlText w:val=""/>
      <w:lvlJc w:val="left"/>
      <w:pPr>
        <w:ind w:left="2160" w:hanging="360"/>
      </w:pPr>
      <w:rPr>
        <w:rFonts w:ascii="Wingdings" w:hAnsi="Wingdings" w:hint="default"/>
      </w:rPr>
    </w:lvl>
    <w:lvl w:ilvl="3" w:tplc="2C948072">
      <w:start w:val="1"/>
      <w:numFmt w:val="bullet"/>
      <w:lvlText w:val=""/>
      <w:lvlJc w:val="left"/>
      <w:pPr>
        <w:ind w:left="2880" w:hanging="360"/>
      </w:pPr>
      <w:rPr>
        <w:rFonts w:ascii="Symbol" w:hAnsi="Symbol" w:hint="default"/>
      </w:rPr>
    </w:lvl>
    <w:lvl w:ilvl="4" w:tplc="3664E810">
      <w:start w:val="1"/>
      <w:numFmt w:val="bullet"/>
      <w:lvlText w:val="o"/>
      <w:lvlJc w:val="left"/>
      <w:pPr>
        <w:ind w:left="3600" w:hanging="360"/>
      </w:pPr>
      <w:rPr>
        <w:rFonts w:ascii="Courier New" w:hAnsi="Courier New" w:hint="default"/>
      </w:rPr>
    </w:lvl>
    <w:lvl w:ilvl="5" w:tplc="5DE80EC6">
      <w:start w:val="1"/>
      <w:numFmt w:val="bullet"/>
      <w:lvlText w:val=""/>
      <w:lvlJc w:val="left"/>
      <w:pPr>
        <w:ind w:left="4320" w:hanging="360"/>
      </w:pPr>
      <w:rPr>
        <w:rFonts w:ascii="Wingdings" w:hAnsi="Wingdings" w:hint="default"/>
      </w:rPr>
    </w:lvl>
    <w:lvl w:ilvl="6" w:tplc="14CE616E">
      <w:start w:val="1"/>
      <w:numFmt w:val="bullet"/>
      <w:lvlText w:val=""/>
      <w:lvlJc w:val="left"/>
      <w:pPr>
        <w:ind w:left="5040" w:hanging="360"/>
      </w:pPr>
      <w:rPr>
        <w:rFonts w:ascii="Symbol" w:hAnsi="Symbol" w:hint="default"/>
      </w:rPr>
    </w:lvl>
    <w:lvl w:ilvl="7" w:tplc="4B94F924">
      <w:start w:val="1"/>
      <w:numFmt w:val="bullet"/>
      <w:lvlText w:val="o"/>
      <w:lvlJc w:val="left"/>
      <w:pPr>
        <w:ind w:left="5760" w:hanging="360"/>
      </w:pPr>
      <w:rPr>
        <w:rFonts w:ascii="Courier New" w:hAnsi="Courier New" w:hint="default"/>
      </w:rPr>
    </w:lvl>
    <w:lvl w:ilvl="8" w:tplc="9B1276B6">
      <w:start w:val="1"/>
      <w:numFmt w:val="bullet"/>
      <w:lvlText w:val=""/>
      <w:lvlJc w:val="left"/>
      <w:pPr>
        <w:ind w:left="6480" w:hanging="360"/>
      </w:pPr>
      <w:rPr>
        <w:rFonts w:ascii="Wingdings" w:hAnsi="Wingdings" w:hint="default"/>
      </w:rPr>
    </w:lvl>
  </w:abstractNum>
  <w:abstractNum w:abstractNumId="6" w15:restartNumberingAfterBreak="0">
    <w:nsid w:val="46D10638"/>
    <w:multiLevelType w:val="hybridMultilevel"/>
    <w:tmpl w:val="D7103BA0"/>
    <w:lvl w:ilvl="0" w:tplc="CE3C529E">
      <w:start w:val="1"/>
      <w:numFmt w:val="bullet"/>
      <w:lvlText w:val="-"/>
      <w:lvlJc w:val="left"/>
      <w:pPr>
        <w:ind w:left="720" w:hanging="360"/>
      </w:pPr>
      <w:rPr>
        <w:rFonts w:ascii="Calibri" w:hAnsi="Calibri" w:hint="default"/>
      </w:rPr>
    </w:lvl>
    <w:lvl w:ilvl="1" w:tplc="E05E218E">
      <w:start w:val="1"/>
      <w:numFmt w:val="bullet"/>
      <w:lvlText w:val="o"/>
      <w:lvlJc w:val="left"/>
      <w:pPr>
        <w:ind w:left="1440" w:hanging="360"/>
      </w:pPr>
      <w:rPr>
        <w:rFonts w:ascii="Courier New" w:hAnsi="Courier New" w:hint="default"/>
      </w:rPr>
    </w:lvl>
    <w:lvl w:ilvl="2" w:tplc="B5A4CB44">
      <w:start w:val="1"/>
      <w:numFmt w:val="bullet"/>
      <w:lvlText w:val=""/>
      <w:lvlJc w:val="left"/>
      <w:pPr>
        <w:ind w:left="2160" w:hanging="360"/>
      </w:pPr>
      <w:rPr>
        <w:rFonts w:ascii="Wingdings" w:hAnsi="Wingdings" w:hint="default"/>
      </w:rPr>
    </w:lvl>
    <w:lvl w:ilvl="3" w:tplc="897A7888">
      <w:start w:val="1"/>
      <w:numFmt w:val="bullet"/>
      <w:lvlText w:val=""/>
      <w:lvlJc w:val="left"/>
      <w:pPr>
        <w:ind w:left="2880" w:hanging="360"/>
      </w:pPr>
      <w:rPr>
        <w:rFonts w:ascii="Symbol" w:hAnsi="Symbol" w:hint="default"/>
      </w:rPr>
    </w:lvl>
    <w:lvl w:ilvl="4" w:tplc="9C6E9566">
      <w:start w:val="1"/>
      <w:numFmt w:val="bullet"/>
      <w:lvlText w:val="o"/>
      <w:lvlJc w:val="left"/>
      <w:pPr>
        <w:ind w:left="3600" w:hanging="360"/>
      </w:pPr>
      <w:rPr>
        <w:rFonts w:ascii="Courier New" w:hAnsi="Courier New" w:hint="default"/>
      </w:rPr>
    </w:lvl>
    <w:lvl w:ilvl="5" w:tplc="1666983E">
      <w:start w:val="1"/>
      <w:numFmt w:val="bullet"/>
      <w:lvlText w:val=""/>
      <w:lvlJc w:val="left"/>
      <w:pPr>
        <w:ind w:left="4320" w:hanging="360"/>
      </w:pPr>
      <w:rPr>
        <w:rFonts w:ascii="Wingdings" w:hAnsi="Wingdings" w:hint="default"/>
      </w:rPr>
    </w:lvl>
    <w:lvl w:ilvl="6" w:tplc="F7180140">
      <w:start w:val="1"/>
      <w:numFmt w:val="bullet"/>
      <w:lvlText w:val=""/>
      <w:lvlJc w:val="left"/>
      <w:pPr>
        <w:ind w:left="5040" w:hanging="360"/>
      </w:pPr>
      <w:rPr>
        <w:rFonts w:ascii="Symbol" w:hAnsi="Symbol" w:hint="default"/>
      </w:rPr>
    </w:lvl>
    <w:lvl w:ilvl="7" w:tplc="468E2A1A">
      <w:start w:val="1"/>
      <w:numFmt w:val="bullet"/>
      <w:lvlText w:val="o"/>
      <w:lvlJc w:val="left"/>
      <w:pPr>
        <w:ind w:left="5760" w:hanging="360"/>
      </w:pPr>
      <w:rPr>
        <w:rFonts w:ascii="Courier New" w:hAnsi="Courier New" w:hint="default"/>
      </w:rPr>
    </w:lvl>
    <w:lvl w:ilvl="8" w:tplc="799A72D6">
      <w:start w:val="1"/>
      <w:numFmt w:val="bullet"/>
      <w:lvlText w:val=""/>
      <w:lvlJc w:val="left"/>
      <w:pPr>
        <w:ind w:left="6480" w:hanging="360"/>
      </w:pPr>
      <w:rPr>
        <w:rFonts w:ascii="Wingdings" w:hAnsi="Wingdings" w:hint="default"/>
      </w:rPr>
    </w:lvl>
  </w:abstractNum>
  <w:abstractNum w:abstractNumId="7"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8" w15:restartNumberingAfterBreak="0">
    <w:nsid w:val="5DDE463B"/>
    <w:multiLevelType w:val="hybridMultilevel"/>
    <w:tmpl w:val="833CFE8C"/>
    <w:lvl w:ilvl="0" w:tplc="07DE2634">
      <w:start w:val="1"/>
      <w:numFmt w:val="bullet"/>
      <w:lvlText w:val="-"/>
      <w:lvlJc w:val="left"/>
      <w:pPr>
        <w:ind w:left="720" w:hanging="360"/>
      </w:pPr>
      <w:rPr>
        <w:rFonts w:ascii="Calibri" w:hAnsi="Calibri" w:hint="default"/>
      </w:rPr>
    </w:lvl>
    <w:lvl w:ilvl="1" w:tplc="11E26D34">
      <w:start w:val="1"/>
      <w:numFmt w:val="bullet"/>
      <w:lvlText w:val="o"/>
      <w:lvlJc w:val="left"/>
      <w:pPr>
        <w:ind w:left="1440" w:hanging="360"/>
      </w:pPr>
      <w:rPr>
        <w:rFonts w:ascii="Courier New" w:hAnsi="Courier New" w:hint="default"/>
      </w:rPr>
    </w:lvl>
    <w:lvl w:ilvl="2" w:tplc="C25A71C8">
      <w:start w:val="1"/>
      <w:numFmt w:val="bullet"/>
      <w:lvlText w:val=""/>
      <w:lvlJc w:val="left"/>
      <w:pPr>
        <w:ind w:left="2160" w:hanging="360"/>
      </w:pPr>
      <w:rPr>
        <w:rFonts w:ascii="Wingdings" w:hAnsi="Wingdings" w:hint="default"/>
      </w:rPr>
    </w:lvl>
    <w:lvl w:ilvl="3" w:tplc="975E61D0">
      <w:start w:val="1"/>
      <w:numFmt w:val="bullet"/>
      <w:lvlText w:val=""/>
      <w:lvlJc w:val="left"/>
      <w:pPr>
        <w:ind w:left="2880" w:hanging="360"/>
      </w:pPr>
      <w:rPr>
        <w:rFonts w:ascii="Symbol" w:hAnsi="Symbol" w:hint="default"/>
      </w:rPr>
    </w:lvl>
    <w:lvl w:ilvl="4" w:tplc="D07A55DE">
      <w:start w:val="1"/>
      <w:numFmt w:val="bullet"/>
      <w:lvlText w:val="o"/>
      <w:lvlJc w:val="left"/>
      <w:pPr>
        <w:ind w:left="3600" w:hanging="360"/>
      </w:pPr>
      <w:rPr>
        <w:rFonts w:ascii="Courier New" w:hAnsi="Courier New" w:hint="default"/>
      </w:rPr>
    </w:lvl>
    <w:lvl w:ilvl="5" w:tplc="B69C2EE2">
      <w:start w:val="1"/>
      <w:numFmt w:val="bullet"/>
      <w:lvlText w:val=""/>
      <w:lvlJc w:val="left"/>
      <w:pPr>
        <w:ind w:left="4320" w:hanging="360"/>
      </w:pPr>
      <w:rPr>
        <w:rFonts w:ascii="Wingdings" w:hAnsi="Wingdings" w:hint="default"/>
      </w:rPr>
    </w:lvl>
    <w:lvl w:ilvl="6" w:tplc="EA1017D6">
      <w:start w:val="1"/>
      <w:numFmt w:val="bullet"/>
      <w:lvlText w:val=""/>
      <w:lvlJc w:val="left"/>
      <w:pPr>
        <w:ind w:left="5040" w:hanging="360"/>
      </w:pPr>
      <w:rPr>
        <w:rFonts w:ascii="Symbol" w:hAnsi="Symbol" w:hint="default"/>
      </w:rPr>
    </w:lvl>
    <w:lvl w:ilvl="7" w:tplc="E6D4D20E">
      <w:start w:val="1"/>
      <w:numFmt w:val="bullet"/>
      <w:lvlText w:val="o"/>
      <w:lvlJc w:val="left"/>
      <w:pPr>
        <w:ind w:left="5760" w:hanging="360"/>
      </w:pPr>
      <w:rPr>
        <w:rFonts w:ascii="Courier New" w:hAnsi="Courier New" w:hint="default"/>
      </w:rPr>
    </w:lvl>
    <w:lvl w:ilvl="8" w:tplc="14C2CB28">
      <w:start w:val="1"/>
      <w:numFmt w:val="bullet"/>
      <w:lvlText w:val=""/>
      <w:lvlJc w:val="left"/>
      <w:pPr>
        <w:ind w:left="6480" w:hanging="360"/>
      </w:pPr>
      <w:rPr>
        <w:rFonts w:ascii="Wingdings" w:hAnsi="Wingdings" w:hint="default"/>
      </w:rPr>
    </w:lvl>
  </w:abstractNum>
  <w:abstractNum w:abstractNumId="9" w15:restartNumberingAfterBreak="0">
    <w:nsid w:val="69257936"/>
    <w:multiLevelType w:val="hybridMultilevel"/>
    <w:tmpl w:val="94D403F4"/>
    <w:lvl w:ilvl="0" w:tplc="4F5AC260">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542B2"/>
    <w:multiLevelType w:val="hybridMultilevel"/>
    <w:tmpl w:val="86526090"/>
    <w:lvl w:ilvl="0" w:tplc="EBF478D0">
      <w:start w:val="1"/>
      <w:numFmt w:val="bullet"/>
      <w:lvlText w:val="-"/>
      <w:lvlJc w:val="left"/>
      <w:pPr>
        <w:ind w:left="720" w:hanging="360"/>
      </w:pPr>
      <w:rPr>
        <w:rFonts w:ascii="Calibri" w:hAnsi="Calibri" w:hint="default"/>
      </w:rPr>
    </w:lvl>
    <w:lvl w:ilvl="1" w:tplc="32C62498">
      <w:start w:val="1"/>
      <w:numFmt w:val="bullet"/>
      <w:lvlText w:val="o"/>
      <w:lvlJc w:val="left"/>
      <w:pPr>
        <w:ind w:left="1440" w:hanging="360"/>
      </w:pPr>
      <w:rPr>
        <w:rFonts w:ascii="Courier New" w:hAnsi="Courier New" w:hint="default"/>
      </w:rPr>
    </w:lvl>
    <w:lvl w:ilvl="2" w:tplc="60AE7024">
      <w:start w:val="1"/>
      <w:numFmt w:val="bullet"/>
      <w:lvlText w:val=""/>
      <w:lvlJc w:val="left"/>
      <w:pPr>
        <w:ind w:left="2160" w:hanging="360"/>
      </w:pPr>
      <w:rPr>
        <w:rFonts w:ascii="Wingdings" w:hAnsi="Wingdings" w:hint="default"/>
      </w:rPr>
    </w:lvl>
    <w:lvl w:ilvl="3" w:tplc="A042962A">
      <w:start w:val="1"/>
      <w:numFmt w:val="bullet"/>
      <w:lvlText w:val=""/>
      <w:lvlJc w:val="left"/>
      <w:pPr>
        <w:ind w:left="2880" w:hanging="360"/>
      </w:pPr>
      <w:rPr>
        <w:rFonts w:ascii="Symbol" w:hAnsi="Symbol" w:hint="default"/>
      </w:rPr>
    </w:lvl>
    <w:lvl w:ilvl="4" w:tplc="486A7D08">
      <w:start w:val="1"/>
      <w:numFmt w:val="bullet"/>
      <w:lvlText w:val="o"/>
      <w:lvlJc w:val="left"/>
      <w:pPr>
        <w:ind w:left="3600" w:hanging="360"/>
      </w:pPr>
      <w:rPr>
        <w:rFonts w:ascii="Courier New" w:hAnsi="Courier New" w:hint="default"/>
      </w:rPr>
    </w:lvl>
    <w:lvl w:ilvl="5" w:tplc="095A161A">
      <w:start w:val="1"/>
      <w:numFmt w:val="bullet"/>
      <w:lvlText w:val=""/>
      <w:lvlJc w:val="left"/>
      <w:pPr>
        <w:ind w:left="4320" w:hanging="360"/>
      </w:pPr>
      <w:rPr>
        <w:rFonts w:ascii="Wingdings" w:hAnsi="Wingdings" w:hint="default"/>
      </w:rPr>
    </w:lvl>
    <w:lvl w:ilvl="6" w:tplc="64C06F52">
      <w:start w:val="1"/>
      <w:numFmt w:val="bullet"/>
      <w:lvlText w:val=""/>
      <w:lvlJc w:val="left"/>
      <w:pPr>
        <w:ind w:left="5040" w:hanging="360"/>
      </w:pPr>
      <w:rPr>
        <w:rFonts w:ascii="Symbol" w:hAnsi="Symbol" w:hint="default"/>
      </w:rPr>
    </w:lvl>
    <w:lvl w:ilvl="7" w:tplc="30CA16F0">
      <w:start w:val="1"/>
      <w:numFmt w:val="bullet"/>
      <w:lvlText w:val="o"/>
      <w:lvlJc w:val="left"/>
      <w:pPr>
        <w:ind w:left="5760" w:hanging="360"/>
      </w:pPr>
      <w:rPr>
        <w:rFonts w:ascii="Courier New" w:hAnsi="Courier New" w:hint="default"/>
      </w:rPr>
    </w:lvl>
    <w:lvl w:ilvl="8" w:tplc="49CA523E">
      <w:start w:val="1"/>
      <w:numFmt w:val="bullet"/>
      <w:lvlText w:val=""/>
      <w:lvlJc w:val="left"/>
      <w:pPr>
        <w:ind w:left="6480" w:hanging="360"/>
      </w:pPr>
      <w:rPr>
        <w:rFonts w:ascii="Wingdings" w:hAnsi="Wingdings" w:hint="default"/>
      </w:rPr>
    </w:lvl>
  </w:abstractNum>
  <w:abstractNum w:abstractNumId="11"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abstractNumId w:val="6"/>
  </w:num>
  <w:num w:numId="2">
    <w:abstractNumId w:val="2"/>
  </w:num>
  <w:num w:numId="3">
    <w:abstractNumId w:val="5"/>
  </w:num>
  <w:num w:numId="4">
    <w:abstractNumId w:val="10"/>
  </w:num>
  <w:num w:numId="5">
    <w:abstractNumId w:val="8"/>
  </w:num>
  <w:num w:numId="6">
    <w:abstractNumId w:val="4"/>
  </w:num>
  <w:num w:numId="7">
    <w:abstractNumId w:val="3"/>
  </w:num>
  <w:num w:numId="8">
    <w:abstractNumId w:val="3"/>
  </w:num>
  <w:num w:numId="9">
    <w:abstractNumId w:val="3"/>
  </w:num>
  <w:num w:numId="10">
    <w:abstractNumId w:val="11"/>
  </w:num>
  <w:num w:numId="11">
    <w:abstractNumId w:val="7"/>
  </w:num>
  <w:num w:numId="12">
    <w:abstractNumId w:val="1"/>
  </w:num>
  <w:num w:numId="13">
    <w:abstractNumId w:val="1"/>
  </w:num>
  <w:num w:numId="14">
    <w:abstractNumId w:val="0"/>
  </w:num>
  <w:num w:numId="15">
    <w:abstractNumId w:val="3"/>
  </w:num>
  <w:num w:numId="16">
    <w:abstractNumId w:val="7"/>
  </w:num>
  <w:num w:numId="17">
    <w:abstractNumId w:val="0"/>
  </w:num>
  <w:num w:numId="18">
    <w:abstractNumId w:val="11"/>
  </w:num>
  <w:num w:numId="19">
    <w:abstractNumId w:val="1"/>
  </w:num>
  <w:num w:numId="20">
    <w:abstractNumId w:val="1"/>
  </w:num>
  <w:num w:numId="21">
    <w:abstractNumId w:val="0"/>
  </w:num>
  <w:num w:numId="22">
    <w:abstractNumId w:val="11"/>
  </w:num>
  <w:num w:numId="23">
    <w:abstractNumId w:val="3"/>
  </w:num>
  <w:num w:numId="24">
    <w:abstractNumId w:val="3"/>
  </w:num>
  <w:num w:numId="25">
    <w:abstractNumId w:val="3"/>
  </w:num>
  <w:num w:numId="26">
    <w:abstractNumId w:val="0"/>
  </w:num>
  <w:num w:numId="27">
    <w:abstractNumId w:val="11"/>
  </w:num>
  <w:num w:numId="28">
    <w:abstractNumId w:val="11"/>
  </w:num>
  <w:num w:numId="29">
    <w:abstractNumId w:val="7"/>
  </w:num>
  <w:num w:numId="30">
    <w:abstractNumId w:val="7"/>
  </w:num>
  <w:num w:numId="31">
    <w:abstractNumId w:val="1"/>
  </w:num>
  <w:num w:numId="32">
    <w:abstractNumId w:val="7"/>
  </w:num>
  <w:num w:numId="33">
    <w:abstractNumId w:val="1"/>
  </w:num>
  <w:num w:numId="34">
    <w:abstractNumId w:val="0"/>
  </w:num>
  <w:num w:numId="35">
    <w:abstractNumId w:val="11"/>
  </w:num>
  <w:num w:numId="36">
    <w:abstractNumId w:val="3"/>
  </w:num>
  <w:num w:numId="37">
    <w:abstractNumId w:val="3"/>
  </w:num>
  <w:num w:numId="38">
    <w:abstractNumId w:val="3"/>
  </w:num>
  <w:num w:numId="39">
    <w:abstractNumId w:val="7"/>
  </w:num>
  <w:num w:numId="40">
    <w:abstractNumId w:val="7"/>
  </w:num>
  <w:num w:numId="41">
    <w:abstractNumId w:val="1"/>
  </w:num>
  <w:num w:numId="42">
    <w:abstractNumId w:val="0"/>
  </w:num>
  <w:num w:numId="43">
    <w:abstractNumId w:val="11"/>
  </w:num>
  <w:num w:numId="44">
    <w:abstractNumId w:val="11"/>
  </w:num>
  <w:num w:numId="45">
    <w:abstractNumId w:val="11"/>
  </w:num>
  <w:num w:numId="46">
    <w:abstractNumId w:val="1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39"/>
    <w:rsid w:val="000008F6"/>
    <w:rsid w:val="00016C32"/>
    <w:rsid w:val="00050C18"/>
    <w:rsid w:val="00074CCF"/>
    <w:rsid w:val="0009663F"/>
    <w:rsid w:val="000B1720"/>
    <w:rsid w:val="000D6DE6"/>
    <w:rsid w:val="000E11C4"/>
    <w:rsid w:val="000E33C5"/>
    <w:rsid w:val="000F177A"/>
    <w:rsid w:val="000F4939"/>
    <w:rsid w:val="000F4F22"/>
    <w:rsid w:val="00137A3B"/>
    <w:rsid w:val="00143ABE"/>
    <w:rsid w:val="00153757"/>
    <w:rsid w:val="001538FD"/>
    <w:rsid w:val="00176A04"/>
    <w:rsid w:val="00195E14"/>
    <w:rsid w:val="00196FA5"/>
    <w:rsid w:val="0019735B"/>
    <w:rsid w:val="001C3137"/>
    <w:rsid w:val="001C42D7"/>
    <w:rsid w:val="001D225C"/>
    <w:rsid w:val="001D3022"/>
    <w:rsid w:val="00222CD6"/>
    <w:rsid w:val="002233AF"/>
    <w:rsid w:val="00227A0C"/>
    <w:rsid w:val="002414CC"/>
    <w:rsid w:val="00261D4E"/>
    <w:rsid w:val="00262BEE"/>
    <w:rsid w:val="00271BEC"/>
    <w:rsid w:val="00272B60"/>
    <w:rsid w:val="002C75FA"/>
    <w:rsid w:val="002F19FF"/>
    <w:rsid w:val="002F5CFA"/>
    <w:rsid w:val="00303115"/>
    <w:rsid w:val="00317CD5"/>
    <w:rsid w:val="00330428"/>
    <w:rsid w:val="00344378"/>
    <w:rsid w:val="00367701"/>
    <w:rsid w:val="00370F9F"/>
    <w:rsid w:val="003D248F"/>
    <w:rsid w:val="00421D31"/>
    <w:rsid w:val="0043262A"/>
    <w:rsid w:val="00440FF4"/>
    <w:rsid w:val="00443873"/>
    <w:rsid w:val="00480C99"/>
    <w:rsid w:val="004C6EFC"/>
    <w:rsid w:val="004D61D0"/>
    <w:rsid w:val="004D7776"/>
    <w:rsid w:val="00504C91"/>
    <w:rsid w:val="00513867"/>
    <w:rsid w:val="0051742C"/>
    <w:rsid w:val="00533E20"/>
    <w:rsid w:val="00560CA2"/>
    <w:rsid w:val="00561E51"/>
    <w:rsid w:val="00586207"/>
    <w:rsid w:val="005B2CCE"/>
    <w:rsid w:val="005C051E"/>
    <w:rsid w:val="005C5DBC"/>
    <w:rsid w:val="005D3768"/>
    <w:rsid w:val="005E7EDD"/>
    <w:rsid w:val="005F45FB"/>
    <w:rsid w:val="0061455C"/>
    <w:rsid w:val="00644368"/>
    <w:rsid w:val="00647DFC"/>
    <w:rsid w:val="0065424B"/>
    <w:rsid w:val="006544B4"/>
    <w:rsid w:val="00662A40"/>
    <w:rsid w:val="00685567"/>
    <w:rsid w:val="006D5A56"/>
    <w:rsid w:val="006E0EBA"/>
    <w:rsid w:val="006E2C17"/>
    <w:rsid w:val="00702BCA"/>
    <w:rsid w:val="00714CB9"/>
    <w:rsid w:val="00726AEA"/>
    <w:rsid w:val="00731D7A"/>
    <w:rsid w:val="007449E2"/>
    <w:rsid w:val="0075355E"/>
    <w:rsid w:val="007639F7"/>
    <w:rsid w:val="00773412"/>
    <w:rsid w:val="00793549"/>
    <w:rsid w:val="007A288B"/>
    <w:rsid w:val="007A38D4"/>
    <w:rsid w:val="007D45D8"/>
    <w:rsid w:val="007E7142"/>
    <w:rsid w:val="00803072"/>
    <w:rsid w:val="0082130D"/>
    <w:rsid w:val="00832029"/>
    <w:rsid w:val="008334BB"/>
    <w:rsid w:val="00836BEE"/>
    <w:rsid w:val="00843235"/>
    <w:rsid w:val="008627F4"/>
    <w:rsid w:val="008822DE"/>
    <w:rsid w:val="00891EED"/>
    <w:rsid w:val="008A5D28"/>
    <w:rsid w:val="008C2EBD"/>
    <w:rsid w:val="008C7AD0"/>
    <w:rsid w:val="008D2D15"/>
    <w:rsid w:val="008D68BA"/>
    <w:rsid w:val="008E73B1"/>
    <w:rsid w:val="008F18E9"/>
    <w:rsid w:val="00902D48"/>
    <w:rsid w:val="0091465A"/>
    <w:rsid w:val="009229F8"/>
    <w:rsid w:val="00931622"/>
    <w:rsid w:val="00944573"/>
    <w:rsid w:val="00957505"/>
    <w:rsid w:val="00991204"/>
    <w:rsid w:val="0099570A"/>
    <w:rsid w:val="00A37826"/>
    <w:rsid w:val="00A4270A"/>
    <w:rsid w:val="00A51257"/>
    <w:rsid w:val="00A66AA5"/>
    <w:rsid w:val="00A71FB7"/>
    <w:rsid w:val="00A8100B"/>
    <w:rsid w:val="00A932BC"/>
    <w:rsid w:val="00AB0F53"/>
    <w:rsid w:val="00AC6834"/>
    <w:rsid w:val="00AE569A"/>
    <w:rsid w:val="00B11647"/>
    <w:rsid w:val="00B24C88"/>
    <w:rsid w:val="00B25A9D"/>
    <w:rsid w:val="00B26712"/>
    <w:rsid w:val="00B53058"/>
    <w:rsid w:val="00B7042D"/>
    <w:rsid w:val="00B7389E"/>
    <w:rsid w:val="00B77B47"/>
    <w:rsid w:val="00B86779"/>
    <w:rsid w:val="00BA2550"/>
    <w:rsid w:val="00BB50ED"/>
    <w:rsid w:val="00BB5CFF"/>
    <w:rsid w:val="00BC45A9"/>
    <w:rsid w:val="00BC52BB"/>
    <w:rsid w:val="00BD2269"/>
    <w:rsid w:val="00C43252"/>
    <w:rsid w:val="00C5682A"/>
    <w:rsid w:val="00C80D6E"/>
    <w:rsid w:val="00C856BF"/>
    <w:rsid w:val="00C85DC3"/>
    <w:rsid w:val="00CC3E4D"/>
    <w:rsid w:val="00CD499F"/>
    <w:rsid w:val="00D1115E"/>
    <w:rsid w:val="00D252F3"/>
    <w:rsid w:val="00D43A16"/>
    <w:rsid w:val="00D52842"/>
    <w:rsid w:val="00D73F48"/>
    <w:rsid w:val="00D870EC"/>
    <w:rsid w:val="00DA5FA6"/>
    <w:rsid w:val="00DC214D"/>
    <w:rsid w:val="00DD48CB"/>
    <w:rsid w:val="00E04649"/>
    <w:rsid w:val="00E065C6"/>
    <w:rsid w:val="00E211ED"/>
    <w:rsid w:val="00E536E5"/>
    <w:rsid w:val="00E62DA7"/>
    <w:rsid w:val="00E855DD"/>
    <w:rsid w:val="00E867C7"/>
    <w:rsid w:val="00E90CDA"/>
    <w:rsid w:val="00E94A02"/>
    <w:rsid w:val="00E95231"/>
    <w:rsid w:val="00EB6936"/>
    <w:rsid w:val="00EC05E4"/>
    <w:rsid w:val="00EC1439"/>
    <w:rsid w:val="00EC5061"/>
    <w:rsid w:val="00ED513C"/>
    <w:rsid w:val="00EF4E60"/>
    <w:rsid w:val="00F377E6"/>
    <w:rsid w:val="00F409D1"/>
    <w:rsid w:val="00F434CA"/>
    <w:rsid w:val="00F45D72"/>
    <w:rsid w:val="00F47B21"/>
    <w:rsid w:val="00F5764B"/>
    <w:rsid w:val="00F615C1"/>
    <w:rsid w:val="00F906BE"/>
    <w:rsid w:val="00F94C3D"/>
    <w:rsid w:val="00FA43F4"/>
    <w:rsid w:val="00FB1FE7"/>
    <w:rsid w:val="00FD4E69"/>
    <w:rsid w:val="00FE6ACB"/>
    <w:rsid w:val="010E4F79"/>
    <w:rsid w:val="0187BC61"/>
    <w:rsid w:val="022364BD"/>
    <w:rsid w:val="0246AF4C"/>
    <w:rsid w:val="0419F014"/>
    <w:rsid w:val="044CACB6"/>
    <w:rsid w:val="0451B197"/>
    <w:rsid w:val="045E8F2E"/>
    <w:rsid w:val="080869E7"/>
    <w:rsid w:val="080A1FBD"/>
    <w:rsid w:val="09A5F01E"/>
    <w:rsid w:val="0A55428E"/>
    <w:rsid w:val="0DE6B44F"/>
    <w:rsid w:val="0DECED9E"/>
    <w:rsid w:val="0E04D194"/>
    <w:rsid w:val="10E202EB"/>
    <w:rsid w:val="112C60C9"/>
    <w:rsid w:val="125C0B33"/>
    <w:rsid w:val="12C8312A"/>
    <w:rsid w:val="1397B807"/>
    <w:rsid w:val="14132C9A"/>
    <w:rsid w:val="1478B293"/>
    <w:rsid w:val="151FD49A"/>
    <w:rsid w:val="166B6B4E"/>
    <w:rsid w:val="166CFCE6"/>
    <w:rsid w:val="177F3939"/>
    <w:rsid w:val="17A60D7B"/>
    <w:rsid w:val="193772AE"/>
    <w:rsid w:val="19473019"/>
    <w:rsid w:val="1AD9FF8A"/>
    <w:rsid w:val="1C074737"/>
    <w:rsid w:val="1C6EACAE"/>
    <w:rsid w:val="1EC973E5"/>
    <w:rsid w:val="20C79C94"/>
    <w:rsid w:val="22C52C97"/>
    <w:rsid w:val="23DDAB0E"/>
    <w:rsid w:val="26D7FE73"/>
    <w:rsid w:val="282A0A43"/>
    <w:rsid w:val="288902AA"/>
    <w:rsid w:val="28A5890A"/>
    <w:rsid w:val="2AD4C024"/>
    <w:rsid w:val="2F32B62D"/>
    <w:rsid w:val="2F34BDC4"/>
    <w:rsid w:val="31A65C0D"/>
    <w:rsid w:val="31E29BD4"/>
    <w:rsid w:val="322A8E2F"/>
    <w:rsid w:val="337E6C35"/>
    <w:rsid w:val="338F793A"/>
    <w:rsid w:val="33A7693F"/>
    <w:rsid w:val="33B3EEB5"/>
    <w:rsid w:val="347F0E48"/>
    <w:rsid w:val="35FB84F2"/>
    <w:rsid w:val="36699323"/>
    <w:rsid w:val="3698EEF0"/>
    <w:rsid w:val="39C1BBED"/>
    <w:rsid w:val="3AA79D59"/>
    <w:rsid w:val="3AEE9B1F"/>
    <w:rsid w:val="3BECFF3A"/>
    <w:rsid w:val="3C788B47"/>
    <w:rsid w:val="3E1CD2F8"/>
    <w:rsid w:val="3F44EF51"/>
    <w:rsid w:val="427F7A55"/>
    <w:rsid w:val="43D3FC47"/>
    <w:rsid w:val="445CAFFE"/>
    <w:rsid w:val="44CC18AF"/>
    <w:rsid w:val="456FCCA8"/>
    <w:rsid w:val="4749E377"/>
    <w:rsid w:val="47D7D63B"/>
    <w:rsid w:val="48EC70C1"/>
    <w:rsid w:val="48EE79F4"/>
    <w:rsid w:val="48FCF9EB"/>
    <w:rsid w:val="4999FF52"/>
    <w:rsid w:val="49EBE504"/>
    <w:rsid w:val="4C2DC2A6"/>
    <w:rsid w:val="4C2FB6E0"/>
    <w:rsid w:val="4C64B660"/>
    <w:rsid w:val="4C78B975"/>
    <w:rsid w:val="4CB23709"/>
    <w:rsid w:val="4D19CA6E"/>
    <w:rsid w:val="4D577259"/>
    <w:rsid w:val="4DD5302D"/>
    <w:rsid w:val="4E2BFBCF"/>
    <w:rsid w:val="4E6FC115"/>
    <w:rsid w:val="4FCFF41D"/>
    <w:rsid w:val="52F4FA94"/>
    <w:rsid w:val="545B715E"/>
    <w:rsid w:val="546046B6"/>
    <w:rsid w:val="59E83651"/>
    <w:rsid w:val="5BBCAFE2"/>
    <w:rsid w:val="5C3FB670"/>
    <w:rsid w:val="5CEBDDB3"/>
    <w:rsid w:val="644B65AA"/>
    <w:rsid w:val="69770CE4"/>
    <w:rsid w:val="699E1981"/>
    <w:rsid w:val="6C1E93AA"/>
    <w:rsid w:val="6D1BEEE8"/>
    <w:rsid w:val="6DD445DD"/>
    <w:rsid w:val="6F183CCC"/>
    <w:rsid w:val="70AC70D5"/>
    <w:rsid w:val="730C800C"/>
    <w:rsid w:val="74FDC52F"/>
    <w:rsid w:val="761039B1"/>
    <w:rsid w:val="761DD207"/>
    <w:rsid w:val="76909B97"/>
    <w:rsid w:val="7A9F0DF4"/>
    <w:rsid w:val="7C878DDE"/>
    <w:rsid w:val="7CB32CB5"/>
    <w:rsid w:val="7DE5E8B9"/>
    <w:rsid w:val="7E4EFD16"/>
    <w:rsid w:val="7FFC08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E1B4F3"/>
  <w15:docId w15:val="{7F5C8519-C3F6-41CC-829D-A69B31AD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68"/>
    <w:rPr>
      <w:sz w:val="24"/>
    </w:rPr>
  </w:style>
  <w:style w:type="paragraph" w:styleId="Heading1">
    <w:name w:val="heading 1"/>
    <w:basedOn w:val="Normal"/>
    <w:next w:val="Heading2"/>
    <w:qFormat/>
    <w:pPr>
      <w:numPr>
        <w:numId w:val="38"/>
      </w:numPr>
      <w:spacing w:before="240"/>
      <w:outlineLvl w:val="0"/>
    </w:pPr>
    <w:rPr>
      <w:b/>
      <w:kern w:val="28"/>
    </w:rPr>
  </w:style>
  <w:style w:type="paragraph" w:styleId="Heading2">
    <w:name w:val="heading 2"/>
    <w:basedOn w:val="Normal"/>
    <w:qFormat/>
    <w:pPr>
      <w:numPr>
        <w:ilvl w:val="1"/>
        <w:numId w:val="38"/>
      </w:numPr>
      <w:spacing w:before="240"/>
      <w:outlineLvl w:val="1"/>
    </w:pPr>
  </w:style>
  <w:style w:type="paragraph" w:styleId="Heading3">
    <w:name w:val="heading 3"/>
    <w:basedOn w:val="Normal"/>
    <w:qFormat/>
    <w:pPr>
      <w:numPr>
        <w:ilvl w:val="2"/>
        <w:numId w:val="38"/>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46"/>
      </w:numPr>
    </w:pPr>
  </w:style>
  <w:style w:type="paragraph" w:customStyle="1" w:styleId="LetterList">
    <w:name w:val="Letter List"/>
    <w:basedOn w:val="Heading1"/>
    <w:pPr>
      <w:numPr>
        <w:numId w:val="40"/>
      </w:numPr>
    </w:pPr>
    <w:rPr>
      <w:b w:val="0"/>
    </w:rPr>
  </w:style>
  <w:style w:type="paragraph" w:styleId="List">
    <w:name w:val="List"/>
    <w:basedOn w:val="Normal"/>
    <w:pPr>
      <w:ind w:left="283" w:hanging="283"/>
    </w:pPr>
  </w:style>
  <w:style w:type="paragraph" w:styleId="ListBullet">
    <w:name w:val="List Bullet"/>
    <w:basedOn w:val="LetterList"/>
    <w:pPr>
      <w:numPr>
        <w:numId w:val="41"/>
      </w:numPr>
    </w:pPr>
  </w:style>
  <w:style w:type="paragraph" w:customStyle="1" w:styleId="NumberList">
    <w:name w:val="Number List"/>
    <w:basedOn w:val="LetterList"/>
    <w:pPr>
      <w:numPr>
        <w:numId w:val="42"/>
      </w:numPr>
    </w:pPr>
  </w:style>
  <w:style w:type="paragraph" w:styleId="Header">
    <w:name w:val="header"/>
    <w:basedOn w:val="Normal"/>
    <w:link w:val="HeaderChar"/>
    <w:uiPriority w:val="99"/>
    <w:unhideWhenUsed/>
    <w:rsid w:val="00EC1439"/>
    <w:pPr>
      <w:tabs>
        <w:tab w:val="center" w:pos="4513"/>
        <w:tab w:val="right" w:pos="9026"/>
      </w:tabs>
    </w:pPr>
  </w:style>
  <w:style w:type="character" w:customStyle="1" w:styleId="HeaderChar">
    <w:name w:val="Header Char"/>
    <w:basedOn w:val="DefaultParagraphFont"/>
    <w:link w:val="Header"/>
    <w:uiPriority w:val="99"/>
    <w:rsid w:val="00EC1439"/>
    <w:rPr>
      <w:sz w:val="24"/>
    </w:rPr>
  </w:style>
  <w:style w:type="paragraph" w:styleId="Footer">
    <w:name w:val="footer"/>
    <w:basedOn w:val="Normal"/>
    <w:link w:val="FooterChar"/>
    <w:uiPriority w:val="99"/>
    <w:unhideWhenUsed/>
    <w:rsid w:val="00EC1439"/>
    <w:pPr>
      <w:tabs>
        <w:tab w:val="center" w:pos="4513"/>
        <w:tab w:val="right" w:pos="9026"/>
      </w:tabs>
    </w:pPr>
  </w:style>
  <w:style w:type="character" w:customStyle="1" w:styleId="FooterChar">
    <w:name w:val="Footer Char"/>
    <w:basedOn w:val="DefaultParagraphFont"/>
    <w:link w:val="Footer"/>
    <w:uiPriority w:val="99"/>
    <w:rsid w:val="00EC1439"/>
    <w:rPr>
      <w:sz w:val="24"/>
    </w:rPr>
  </w:style>
  <w:style w:type="paragraph" w:styleId="BalloonText">
    <w:name w:val="Balloon Text"/>
    <w:basedOn w:val="Normal"/>
    <w:link w:val="BalloonTextChar"/>
    <w:uiPriority w:val="99"/>
    <w:semiHidden/>
    <w:unhideWhenUsed/>
    <w:rsid w:val="00EC1439"/>
    <w:rPr>
      <w:rFonts w:ascii="Tahoma" w:hAnsi="Tahoma" w:cs="Tahoma"/>
      <w:sz w:val="16"/>
      <w:szCs w:val="16"/>
    </w:rPr>
  </w:style>
  <w:style w:type="character" w:customStyle="1" w:styleId="BalloonTextChar">
    <w:name w:val="Balloon Text Char"/>
    <w:basedOn w:val="DefaultParagraphFont"/>
    <w:link w:val="BalloonText"/>
    <w:uiPriority w:val="99"/>
    <w:semiHidden/>
    <w:rsid w:val="00EC1439"/>
    <w:rPr>
      <w:rFonts w:ascii="Tahoma" w:hAnsi="Tahoma" w:cs="Tahoma"/>
      <w:sz w:val="16"/>
      <w:szCs w:val="16"/>
    </w:rPr>
  </w:style>
  <w:style w:type="table" w:styleId="TableGrid">
    <w:name w:val="Table Grid"/>
    <w:basedOn w:val="TableNormal"/>
    <w:uiPriority w:val="59"/>
    <w:rsid w:val="00EC1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439"/>
    <w:pPr>
      <w:ind w:left="720"/>
      <w:contextualSpacing/>
    </w:pPr>
  </w:style>
  <w:style w:type="character" w:styleId="CommentReference">
    <w:name w:val="annotation reference"/>
    <w:basedOn w:val="DefaultParagraphFont"/>
    <w:uiPriority w:val="99"/>
    <w:semiHidden/>
    <w:unhideWhenUsed/>
    <w:rsid w:val="00AC6834"/>
    <w:rPr>
      <w:sz w:val="16"/>
      <w:szCs w:val="16"/>
    </w:rPr>
  </w:style>
  <w:style w:type="paragraph" w:styleId="CommentText">
    <w:name w:val="annotation text"/>
    <w:basedOn w:val="Normal"/>
    <w:link w:val="CommentTextChar"/>
    <w:uiPriority w:val="99"/>
    <w:semiHidden/>
    <w:unhideWhenUsed/>
    <w:rsid w:val="00AC6834"/>
    <w:rPr>
      <w:rFonts w:ascii="Arial" w:hAnsi="Arial"/>
      <w:sz w:val="20"/>
      <w:lang w:eastAsia="en-US"/>
    </w:rPr>
  </w:style>
  <w:style w:type="character" w:customStyle="1" w:styleId="CommentTextChar">
    <w:name w:val="Comment Text Char"/>
    <w:basedOn w:val="DefaultParagraphFont"/>
    <w:link w:val="CommentText"/>
    <w:uiPriority w:val="99"/>
    <w:semiHidden/>
    <w:rsid w:val="00AC683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11647"/>
    <w:rPr>
      <w:rFonts w:ascii="Times New Roman" w:hAnsi="Times New Roman"/>
      <w:b/>
      <w:bCs/>
      <w:lang w:eastAsia="en-GB"/>
    </w:rPr>
  </w:style>
  <w:style w:type="character" w:customStyle="1" w:styleId="CommentSubjectChar">
    <w:name w:val="Comment Subject Char"/>
    <w:basedOn w:val="CommentTextChar"/>
    <w:link w:val="CommentSubject"/>
    <w:uiPriority w:val="99"/>
    <w:semiHidden/>
    <w:rsid w:val="00B11647"/>
    <w:rPr>
      <w:rFonts w:ascii="Arial" w:hAnsi="Arial"/>
      <w:b/>
      <w:bCs/>
      <w:lang w:eastAsia="en-US"/>
    </w:rPr>
  </w:style>
  <w:style w:type="character" w:styleId="Hyperlink">
    <w:name w:val="Hyperlink"/>
    <w:basedOn w:val="DefaultParagraphFont"/>
    <w:uiPriority w:val="99"/>
    <w:unhideWhenUsed/>
    <w:rsid w:val="00D252F3"/>
    <w:rPr>
      <w:color w:val="0000FF" w:themeColor="hyperlink"/>
      <w:u w:val="single"/>
    </w:rPr>
  </w:style>
  <w:style w:type="character" w:styleId="UnresolvedMention">
    <w:name w:val="Unresolved Mention"/>
    <w:basedOn w:val="DefaultParagraphFont"/>
    <w:uiPriority w:val="99"/>
    <w:semiHidden/>
    <w:unhideWhenUsed/>
    <w:rsid w:val="00D252F3"/>
    <w:rPr>
      <w:color w:val="605E5C"/>
      <w:shd w:val="clear" w:color="auto" w:fill="E1DFDD"/>
    </w:rPr>
  </w:style>
  <w:style w:type="character" w:styleId="FollowedHyperlink">
    <w:name w:val="FollowedHyperlink"/>
    <w:basedOn w:val="DefaultParagraphFont"/>
    <w:uiPriority w:val="99"/>
    <w:semiHidden/>
    <w:unhideWhenUsed/>
    <w:rsid w:val="00D252F3"/>
    <w:rPr>
      <w:color w:val="800080" w:themeColor="followedHyperlink"/>
      <w:u w:val="single"/>
    </w:rPr>
  </w:style>
  <w:style w:type="paragraph" w:styleId="NormalWeb">
    <w:name w:val="Normal (Web)"/>
    <w:basedOn w:val="Normal"/>
    <w:uiPriority w:val="99"/>
    <w:semiHidden/>
    <w:unhideWhenUsed/>
    <w:rsid w:val="0058620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4900">
      <w:bodyDiv w:val="1"/>
      <w:marLeft w:val="0"/>
      <w:marRight w:val="0"/>
      <w:marTop w:val="0"/>
      <w:marBottom w:val="0"/>
      <w:divBdr>
        <w:top w:val="none" w:sz="0" w:space="0" w:color="auto"/>
        <w:left w:val="none" w:sz="0" w:space="0" w:color="auto"/>
        <w:bottom w:val="none" w:sz="0" w:space="0" w:color="auto"/>
        <w:right w:val="none" w:sz="0" w:space="0" w:color="auto"/>
      </w:divBdr>
    </w:div>
    <w:div w:id="608588020">
      <w:bodyDiv w:val="1"/>
      <w:marLeft w:val="0"/>
      <w:marRight w:val="0"/>
      <w:marTop w:val="0"/>
      <w:marBottom w:val="0"/>
      <w:divBdr>
        <w:top w:val="none" w:sz="0" w:space="0" w:color="auto"/>
        <w:left w:val="none" w:sz="0" w:space="0" w:color="auto"/>
        <w:bottom w:val="none" w:sz="0" w:space="0" w:color="auto"/>
        <w:right w:val="none" w:sz="0" w:space="0" w:color="auto"/>
      </w:divBdr>
    </w:div>
    <w:div w:id="653145003">
      <w:bodyDiv w:val="1"/>
      <w:marLeft w:val="0"/>
      <w:marRight w:val="0"/>
      <w:marTop w:val="0"/>
      <w:marBottom w:val="0"/>
      <w:divBdr>
        <w:top w:val="none" w:sz="0" w:space="0" w:color="auto"/>
        <w:left w:val="none" w:sz="0" w:space="0" w:color="auto"/>
        <w:bottom w:val="none" w:sz="0" w:space="0" w:color="auto"/>
        <w:right w:val="none" w:sz="0" w:space="0" w:color="auto"/>
      </w:divBdr>
    </w:div>
    <w:div w:id="11922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e8abe7d-96d7-44f5-b4a6-52397ac7606a">
      <Terms xmlns="http://schemas.microsoft.com/office/infopath/2007/PartnerControls"/>
    </lcf76f155ced4ddcb4097134ff3c332f>
    <_dlc_DocIdPersistId xmlns="de14ec6f-ceae-4acb-b820-523fee4dab9f" xsi:nil="true"/>
    <time xmlns="7e8abe7d-96d7-44f5-b4a6-52397ac7606a" xsi:nil="true"/>
    <TaxCatchAll xmlns="de14ec6f-ceae-4acb-b820-523fee4dab9f" xsi:nil="true"/>
    <_dlc_DocId xmlns="de14ec6f-ceae-4acb-b820-523fee4dab9f">SY2YKDYCVMCA-835828040-31680</_dlc_DocId>
    <_dlc_DocIdUrl xmlns="de14ec6f-ceae-4acb-b820-523fee4dab9f">
      <Url>https://lloydsoflondon.sharepoint.com/sites/finance/_layouts/15/DocIdRedir.aspx?ID=SY2YKDYCVMCA-835828040-31680</Url>
      <Description>SY2YKDYCVMCA-835828040-31680</Description>
    </_dlc_DocIdUrl>
    <SharedWithUsers xmlns="de14ec6f-ceae-4acb-b820-523fee4dab9f">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9A1621A6E8F142B5171661DCF576DA" ma:contentTypeVersion="28" ma:contentTypeDescription="Create a new document." ma:contentTypeScope="" ma:versionID="40eb51ed5b903716b9c3c4b0972607bf">
  <xsd:schema xmlns:xsd="http://www.w3.org/2001/XMLSchema" xmlns:xs="http://www.w3.org/2001/XMLSchema" xmlns:p="http://schemas.microsoft.com/office/2006/metadata/properties" xmlns:ns1="http://schemas.microsoft.com/sharepoint/v3" xmlns:ns2="de14ec6f-ceae-4acb-b820-523fee4dab9f" xmlns:ns3="7e8abe7d-96d7-44f5-b4a6-52397ac7606a" targetNamespace="http://schemas.microsoft.com/office/2006/metadata/properties" ma:root="true" ma:fieldsID="fcf3632cde0e55262f475186589610ed" ns1:_="" ns2:_="" ns3:_="">
    <xsd:import namespace="http://schemas.microsoft.com/sharepoint/v3"/>
    <xsd:import namespace="de14ec6f-ceae-4acb-b820-523fee4dab9f"/>
    <xsd:import namespace="7e8abe7d-96d7-44f5-b4a6-52397ac760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4ec6f-ceae-4acb-b820-523fee4dab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23d209-cbdf-4dc5-9a62-9f91fa7f72be}" ma:internalName="TaxCatchAll" ma:showField="CatchAllData" ma:web="de14ec6f-ceae-4acb-b820-523fee4dab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8abe7d-96d7-44f5-b4a6-52397ac760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time" ma:index="27" nillable="true" ma:displayName="time" ma:format="DateTime" ma:internalName="time">
      <xsd:simpleType>
        <xsd:restriction base="dms:DateTime"/>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60D24-B9F1-43C2-8427-F9A53284F210}">
  <ds:schemaRefs>
    <ds:schemaRef ds:uri="http://schemas.microsoft.com/office/2006/documentManagement/types"/>
    <ds:schemaRef ds:uri="http://schemas.microsoft.com/sharepoint/v3"/>
    <ds:schemaRef ds:uri="5f6f5e3e-ea5e-48f3-b399-5a71944ad510"/>
    <ds:schemaRef ds:uri="http://purl.org/dc/elements/1.1/"/>
    <ds:schemaRef ds:uri="http://schemas.openxmlformats.org/package/2006/metadata/core-properties"/>
    <ds:schemaRef ds:uri="http://purl.org/dc/dcmitype/"/>
    <ds:schemaRef ds:uri="http://schemas.microsoft.com/office/infopath/2007/PartnerControls"/>
    <ds:schemaRef ds:uri="7dd6afd4-d3cc-406f-ba0d-e5bb82fa1433"/>
    <ds:schemaRef ds:uri="http://schemas.microsoft.com/office/2006/metadata/properties"/>
    <ds:schemaRef ds:uri="http://www.w3.org/XML/1998/namespace"/>
    <ds:schemaRef ds:uri="http://purl.org/dc/terms/"/>
    <ds:schemaRef ds:uri="7e8abe7d-96d7-44f5-b4a6-52397ac7606a"/>
    <ds:schemaRef ds:uri="de14ec6f-ceae-4acb-b820-523fee4dab9f"/>
  </ds:schemaRefs>
</ds:datastoreItem>
</file>

<file path=customXml/itemProps2.xml><?xml version="1.0" encoding="utf-8"?>
<ds:datastoreItem xmlns:ds="http://schemas.openxmlformats.org/officeDocument/2006/customXml" ds:itemID="{1BA6F7AC-EEA1-4321-A764-3A5F06440197}">
  <ds:schemaRefs>
    <ds:schemaRef ds:uri="http://schemas.microsoft.com/sharepoint/events"/>
  </ds:schemaRefs>
</ds:datastoreItem>
</file>

<file path=customXml/itemProps3.xml><?xml version="1.0" encoding="utf-8"?>
<ds:datastoreItem xmlns:ds="http://schemas.openxmlformats.org/officeDocument/2006/customXml" ds:itemID="{121511C2-6614-4788-B9D3-2AEB71FFC2D9}">
  <ds:schemaRefs>
    <ds:schemaRef ds:uri="http://schemas.openxmlformats.org/officeDocument/2006/bibliography"/>
  </ds:schemaRefs>
</ds:datastoreItem>
</file>

<file path=customXml/itemProps4.xml><?xml version="1.0" encoding="utf-8"?>
<ds:datastoreItem xmlns:ds="http://schemas.openxmlformats.org/officeDocument/2006/customXml" ds:itemID="{3F998A9F-A657-4BDF-8864-810FF7397C1A}">
  <ds:schemaRefs>
    <ds:schemaRef ds:uri="http://schemas.microsoft.com/sharepoint/v3/contenttype/forms"/>
  </ds:schemaRefs>
</ds:datastoreItem>
</file>

<file path=customXml/itemProps5.xml><?xml version="1.0" encoding="utf-8"?>
<ds:datastoreItem xmlns:ds="http://schemas.openxmlformats.org/officeDocument/2006/customXml" ds:itemID="{D440C916-7376-4556-83A4-4BFCE905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14ec6f-ceae-4acb-b820-523fee4dab9f"/>
    <ds:schemaRef ds:uri="7e8abe7d-96d7-44f5-b4a6-52397ac7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Global Corporation Template</dc:subject>
  <dc:creator>Ward, Hazel</dc:creator>
  <cp:keywords/>
  <dc:description/>
  <cp:lastModifiedBy>Rooney, Declan</cp:lastModifiedBy>
  <cp:revision>2</cp:revision>
  <cp:lastPrinted>2019-11-05T16:28:00Z</cp:lastPrinted>
  <dcterms:created xsi:type="dcterms:W3CDTF">2023-02-28T11:35:00Z</dcterms:created>
  <dcterms:modified xsi:type="dcterms:W3CDTF">2023-02-28T11:35:00Z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0x010100B69A1621A6E8F142B5171661DCF576DA</vt:lpwstr>
  </property>
  <property fmtid="{D5CDD505-2E9C-101B-9397-08002B2CF9AE}" pid="3" name="_dlc_DocIdItemGuid">
    <vt:lpwstr>b68aff37-924a-4627-a9c5-a7f90024f62b</vt:lpwstr>
  </property>
  <property fmtid="{D5CDD505-2E9C-101B-9397-08002B2CF9AE}" pid="4" name="MediaServiceImageTags">
    <vt:lpwstr/>
  </property>
</Properties>
</file>