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847E0" w14:textId="77777777" w:rsidR="006D5A56" w:rsidRDefault="007560E9" w:rsidP="001C4670">
      <w:pPr>
        <w:jc w:val="center"/>
        <w:rPr>
          <w:rFonts w:ascii="Arial" w:hAnsi="Arial" w:cs="Arial"/>
          <w:sz w:val="28"/>
          <w:szCs w:val="28"/>
        </w:rPr>
      </w:pPr>
      <w:r w:rsidRPr="007560E9">
        <w:rPr>
          <w:rFonts w:ascii="Arial" w:hAnsi="Arial" w:cs="Arial"/>
          <w:b/>
          <w:sz w:val="28"/>
          <w:szCs w:val="28"/>
          <w:u w:val="single"/>
        </w:rPr>
        <w:t>Europe Supplement</w:t>
      </w:r>
      <w:r w:rsidR="00FE33A0">
        <w:rPr>
          <w:rFonts w:ascii="Arial" w:hAnsi="Arial" w:cs="Arial"/>
          <w:b/>
          <w:sz w:val="28"/>
          <w:szCs w:val="28"/>
          <w:u w:val="single"/>
        </w:rPr>
        <w:t>ary</w:t>
      </w:r>
      <w:r w:rsidRPr="007560E9">
        <w:rPr>
          <w:rFonts w:ascii="Arial" w:hAnsi="Arial" w:cs="Arial"/>
          <w:b/>
          <w:sz w:val="28"/>
          <w:szCs w:val="28"/>
          <w:u w:val="single"/>
        </w:rPr>
        <w:t xml:space="preserve"> Report</w:t>
      </w:r>
      <w:r>
        <w:rPr>
          <w:rFonts w:ascii="Arial" w:hAnsi="Arial" w:cs="Arial"/>
          <w:b/>
          <w:sz w:val="28"/>
          <w:szCs w:val="28"/>
          <w:u w:val="single"/>
        </w:rPr>
        <w:t xml:space="preserve"> Guidance</w:t>
      </w:r>
    </w:p>
    <w:p w14:paraId="501A2761" w14:textId="77777777" w:rsidR="007560E9" w:rsidRDefault="007560E9" w:rsidP="007560E9">
      <w:pPr>
        <w:rPr>
          <w:rFonts w:ascii="Arial" w:hAnsi="Arial" w:cs="Arial"/>
          <w:sz w:val="28"/>
          <w:szCs w:val="28"/>
        </w:rPr>
      </w:pPr>
    </w:p>
    <w:p w14:paraId="6B4DD5BE" w14:textId="503CD05A" w:rsidR="0081541D" w:rsidRDefault="0081541D" w:rsidP="0072468B">
      <w:pPr>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Please note that for the 2022 SBF onwards, the additional GWP data in the Europe Supplemental Report will now be </w:t>
      </w:r>
      <w:r w:rsidRPr="007C499B">
        <w:rPr>
          <w:rStyle w:val="normaltextrun"/>
          <w:rFonts w:asciiTheme="minorHAnsi" w:hAnsiTheme="minorHAnsi" w:cstheme="minorHAnsi"/>
          <w:color w:val="FF0000"/>
          <w:sz w:val="22"/>
          <w:szCs w:val="22"/>
        </w:rPr>
        <w:t>collected directly within the SBF under a new form 110.</w:t>
      </w:r>
      <w:r>
        <w:rPr>
          <w:rStyle w:val="normaltextrun"/>
          <w:rFonts w:asciiTheme="minorHAnsi" w:hAnsiTheme="minorHAnsi" w:cstheme="minorHAnsi"/>
          <w:color w:val="000000"/>
          <w:sz w:val="22"/>
          <w:szCs w:val="22"/>
        </w:rPr>
        <w:t xml:space="preserve"> </w:t>
      </w:r>
      <w:r w:rsidR="009504E5">
        <w:rPr>
          <w:rStyle w:val="normaltextrun"/>
          <w:rFonts w:asciiTheme="minorHAnsi" w:hAnsiTheme="minorHAnsi" w:cstheme="minorHAnsi"/>
          <w:color w:val="000000"/>
          <w:sz w:val="22"/>
          <w:szCs w:val="22"/>
        </w:rPr>
        <w:t>This information was provided to synd</w:t>
      </w:r>
      <w:r w:rsidR="002E1846">
        <w:rPr>
          <w:rStyle w:val="normaltextrun"/>
          <w:rFonts w:asciiTheme="minorHAnsi" w:hAnsiTheme="minorHAnsi" w:cstheme="minorHAnsi"/>
          <w:color w:val="000000"/>
          <w:sz w:val="22"/>
          <w:szCs w:val="22"/>
        </w:rPr>
        <w:t>ic</w:t>
      </w:r>
      <w:r w:rsidR="009504E5">
        <w:rPr>
          <w:rStyle w:val="normaltextrun"/>
          <w:rFonts w:asciiTheme="minorHAnsi" w:hAnsiTheme="minorHAnsi" w:cstheme="minorHAnsi"/>
          <w:color w:val="000000"/>
          <w:sz w:val="22"/>
          <w:szCs w:val="22"/>
        </w:rPr>
        <w:t>ates in their pre-planning letters sent at the end of May.</w:t>
      </w:r>
    </w:p>
    <w:p w14:paraId="5317EAAE" w14:textId="77777777" w:rsidR="009504E5" w:rsidRDefault="009504E5" w:rsidP="0072468B">
      <w:pPr>
        <w:rPr>
          <w:rStyle w:val="normaltextrun"/>
          <w:rFonts w:asciiTheme="minorHAnsi" w:hAnsiTheme="minorHAnsi" w:cstheme="minorHAnsi"/>
          <w:color w:val="000000"/>
          <w:sz w:val="22"/>
          <w:szCs w:val="22"/>
        </w:rPr>
      </w:pPr>
    </w:p>
    <w:p w14:paraId="04D57B3D" w14:textId="20F2FBE2" w:rsidR="002E1846" w:rsidRPr="002E1846" w:rsidRDefault="00806B1B" w:rsidP="002E1846">
      <w:pPr>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Form 110</w:t>
      </w:r>
      <w:r w:rsidR="0072468B" w:rsidRPr="0072468B">
        <w:rPr>
          <w:rStyle w:val="normaltextrun"/>
          <w:rFonts w:asciiTheme="minorHAnsi" w:hAnsiTheme="minorHAnsi" w:cstheme="minorHAnsi"/>
          <w:color w:val="000000"/>
          <w:sz w:val="22"/>
          <w:szCs w:val="22"/>
        </w:rPr>
        <w:t xml:space="preserve"> replaces the “EU Supplement report” which up until the 2022 process was completed on an excel spreadsheet accessed in Lloyd’s </w:t>
      </w:r>
      <w:proofErr w:type="spellStart"/>
      <w:r w:rsidR="0072468B" w:rsidRPr="0072468B">
        <w:rPr>
          <w:rStyle w:val="normaltextrun"/>
          <w:rFonts w:asciiTheme="minorHAnsi" w:hAnsiTheme="minorHAnsi" w:cstheme="minorHAnsi"/>
          <w:color w:val="000000"/>
          <w:sz w:val="22"/>
          <w:szCs w:val="22"/>
        </w:rPr>
        <w:t>Secure</w:t>
      </w:r>
      <w:r w:rsidR="002E1846">
        <w:rPr>
          <w:rStyle w:val="normaltextrun"/>
          <w:rFonts w:asciiTheme="minorHAnsi" w:hAnsiTheme="minorHAnsi" w:cstheme="minorHAnsi"/>
          <w:color w:val="000000"/>
          <w:sz w:val="22"/>
          <w:szCs w:val="22"/>
        </w:rPr>
        <w:t>Store</w:t>
      </w:r>
      <w:proofErr w:type="spellEnd"/>
      <w:r>
        <w:rPr>
          <w:rStyle w:val="normaltextrun"/>
          <w:rFonts w:asciiTheme="minorHAnsi" w:hAnsiTheme="minorHAnsi" w:cstheme="minorHAnsi"/>
          <w:color w:val="000000"/>
          <w:sz w:val="22"/>
          <w:szCs w:val="22"/>
        </w:rPr>
        <w:t>,</w:t>
      </w:r>
      <w:r w:rsidR="0072468B" w:rsidRPr="0072468B">
        <w:rPr>
          <w:rStyle w:val="normaltextrun"/>
          <w:rFonts w:asciiTheme="minorHAnsi" w:hAnsiTheme="minorHAnsi" w:cstheme="minorHAnsi"/>
          <w:color w:val="000000"/>
          <w:sz w:val="22"/>
          <w:szCs w:val="22"/>
        </w:rPr>
        <w:t xml:space="preserve"> on the </w:t>
      </w:r>
      <w:proofErr w:type="gramStart"/>
      <w:r w:rsidR="0072468B" w:rsidRPr="0072468B">
        <w:rPr>
          <w:rStyle w:val="normaltextrun"/>
          <w:rFonts w:asciiTheme="minorHAnsi" w:hAnsiTheme="minorHAnsi" w:cstheme="minorHAnsi"/>
          <w:color w:val="000000"/>
          <w:sz w:val="22"/>
          <w:szCs w:val="22"/>
        </w:rPr>
        <w:t>High Level</w:t>
      </w:r>
      <w:proofErr w:type="gramEnd"/>
      <w:r w:rsidR="0072468B" w:rsidRPr="0072468B">
        <w:rPr>
          <w:rStyle w:val="normaltextrun"/>
          <w:rFonts w:asciiTheme="minorHAnsi" w:hAnsiTheme="minorHAnsi" w:cstheme="minorHAnsi"/>
          <w:color w:val="000000"/>
          <w:sz w:val="22"/>
          <w:szCs w:val="22"/>
        </w:rPr>
        <w:t> Planning Data Submission Site.  This spreadsheet is no longer accessible on </w:t>
      </w:r>
      <w:proofErr w:type="spellStart"/>
      <w:r w:rsidR="0072468B" w:rsidRPr="0072468B">
        <w:rPr>
          <w:rStyle w:val="normaltextrun"/>
          <w:rFonts w:asciiTheme="minorHAnsi" w:hAnsiTheme="minorHAnsi" w:cstheme="minorHAnsi"/>
          <w:color w:val="000000"/>
          <w:sz w:val="22"/>
          <w:szCs w:val="22"/>
        </w:rPr>
        <w:t>Secure</w:t>
      </w:r>
      <w:r w:rsidR="002E1846">
        <w:rPr>
          <w:rStyle w:val="normaltextrun"/>
          <w:rFonts w:asciiTheme="minorHAnsi" w:hAnsiTheme="minorHAnsi" w:cstheme="minorHAnsi"/>
          <w:color w:val="000000"/>
          <w:sz w:val="22"/>
          <w:szCs w:val="22"/>
        </w:rPr>
        <w:t>Store</w:t>
      </w:r>
      <w:proofErr w:type="spellEnd"/>
      <w:r w:rsidR="002E1846">
        <w:rPr>
          <w:rStyle w:val="normaltextrun"/>
          <w:rFonts w:asciiTheme="minorHAnsi" w:hAnsiTheme="minorHAnsi" w:cstheme="minorHAnsi"/>
          <w:color w:val="000000"/>
          <w:sz w:val="22"/>
          <w:szCs w:val="22"/>
        </w:rPr>
        <w:t xml:space="preserve"> </w:t>
      </w:r>
      <w:r w:rsidR="0072468B" w:rsidRPr="0072468B">
        <w:rPr>
          <w:rStyle w:val="normaltextrun"/>
          <w:rFonts w:asciiTheme="minorHAnsi" w:hAnsiTheme="minorHAnsi" w:cstheme="minorHAnsi"/>
          <w:color w:val="000000"/>
          <w:sz w:val="22"/>
          <w:szCs w:val="22"/>
        </w:rPr>
        <w:t xml:space="preserve">and from 2022 the </w:t>
      </w:r>
      <w:r>
        <w:rPr>
          <w:rStyle w:val="normaltextrun"/>
          <w:rFonts w:asciiTheme="minorHAnsi" w:hAnsiTheme="minorHAnsi" w:cstheme="minorHAnsi"/>
          <w:color w:val="000000"/>
          <w:sz w:val="22"/>
          <w:szCs w:val="22"/>
        </w:rPr>
        <w:t>SBF</w:t>
      </w:r>
      <w:r w:rsidR="0072468B" w:rsidRPr="0072468B">
        <w:rPr>
          <w:rStyle w:val="normaltextrun"/>
          <w:rFonts w:asciiTheme="minorHAnsi" w:hAnsiTheme="minorHAnsi" w:cstheme="minorHAnsi"/>
          <w:color w:val="000000"/>
          <w:sz w:val="22"/>
          <w:szCs w:val="22"/>
        </w:rPr>
        <w:t>110 form must be completed instead.</w:t>
      </w:r>
      <w:r w:rsidR="0072468B" w:rsidRPr="002E1846">
        <w:rPr>
          <w:rStyle w:val="normaltextrun"/>
        </w:rPr>
        <w:t> </w:t>
      </w:r>
      <w:r w:rsidR="002E1846">
        <w:rPr>
          <w:rStyle w:val="normaltextrun"/>
          <w:rFonts w:asciiTheme="minorHAnsi" w:hAnsiTheme="minorHAnsi" w:cstheme="minorHAnsi"/>
          <w:color w:val="000000"/>
          <w:sz w:val="22"/>
          <w:szCs w:val="22"/>
        </w:rPr>
        <w:t>The data required is exactly the same as previously collected in the Excel template.</w:t>
      </w:r>
    </w:p>
    <w:p w14:paraId="17A7DDB6" w14:textId="0CE58F7B" w:rsidR="0072468B" w:rsidRPr="002E1846" w:rsidRDefault="0072468B" w:rsidP="0072468B">
      <w:pPr>
        <w:rPr>
          <w:rStyle w:val="normaltextrun"/>
          <w:rFonts w:asciiTheme="minorHAnsi" w:hAnsiTheme="minorHAnsi" w:cstheme="minorHAnsi"/>
          <w:color w:val="000000"/>
          <w:sz w:val="22"/>
          <w:szCs w:val="22"/>
        </w:rPr>
      </w:pPr>
    </w:p>
    <w:p w14:paraId="179EEFE5" w14:textId="1ACE8A33" w:rsidR="002E1846" w:rsidRDefault="002E1846" w:rsidP="0072468B">
      <w:pPr>
        <w:rPr>
          <w:rStyle w:val="normaltextrun"/>
          <w:rFonts w:asciiTheme="minorHAnsi" w:hAnsiTheme="minorHAnsi" w:cstheme="minorHAnsi"/>
          <w:color w:val="000000"/>
          <w:sz w:val="22"/>
          <w:szCs w:val="22"/>
        </w:rPr>
      </w:pPr>
      <w:r w:rsidRPr="002E1846">
        <w:rPr>
          <w:rStyle w:val="normaltextrun"/>
          <w:rFonts w:asciiTheme="minorHAnsi" w:hAnsiTheme="minorHAnsi" w:cstheme="minorHAnsi"/>
          <w:color w:val="000000"/>
          <w:sz w:val="22"/>
          <w:szCs w:val="22"/>
        </w:rPr>
        <w:t xml:space="preserve">The </w:t>
      </w:r>
      <w:r w:rsidR="007C499B">
        <w:rPr>
          <w:rStyle w:val="normaltextrun"/>
          <w:rFonts w:asciiTheme="minorHAnsi" w:hAnsiTheme="minorHAnsi" w:cstheme="minorHAnsi"/>
          <w:color w:val="000000"/>
          <w:sz w:val="22"/>
          <w:szCs w:val="22"/>
        </w:rPr>
        <w:t xml:space="preserve">updated </w:t>
      </w:r>
      <w:r w:rsidRPr="002E1846">
        <w:rPr>
          <w:rStyle w:val="normaltextrun"/>
          <w:rFonts w:asciiTheme="minorHAnsi" w:hAnsiTheme="minorHAnsi" w:cstheme="minorHAnsi"/>
          <w:color w:val="000000"/>
          <w:sz w:val="22"/>
          <w:szCs w:val="22"/>
        </w:rPr>
        <w:t xml:space="preserve">full SBF instructions </w:t>
      </w:r>
      <w:r w:rsidR="007C499B">
        <w:rPr>
          <w:rStyle w:val="normaltextrun"/>
          <w:rFonts w:asciiTheme="minorHAnsi" w:hAnsiTheme="minorHAnsi" w:cstheme="minorHAnsi"/>
          <w:color w:val="000000"/>
          <w:sz w:val="22"/>
          <w:szCs w:val="22"/>
        </w:rPr>
        <w:t>can be located in MDC under the 2022 YOA, but below are a few key points to note.</w:t>
      </w:r>
    </w:p>
    <w:p w14:paraId="46E6EA0B" w14:textId="77777777" w:rsidR="007C499B" w:rsidRDefault="007C499B" w:rsidP="0072468B">
      <w:pPr>
        <w:pStyle w:val="paragraph"/>
        <w:spacing w:before="0" w:beforeAutospacing="0" w:after="0" w:afterAutospacing="0"/>
        <w:textAlignment w:val="baseline"/>
        <w:rPr>
          <w:rFonts w:ascii="Segoe UI" w:hAnsi="Segoe UI" w:cs="Segoe UI"/>
          <w:sz w:val="18"/>
          <w:szCs w:val="18"/>
        </w:rPr>
      </w:pPr>
    </w:p>
    <w:p w14:paraId="64C486D8" w14:textId="23AD7A0C" w:rsidR="0072468B" w:rsidRDefault="0072468B" w:rsidP="0072468B">
      <w:pPr>
        <w:pStyle w:val="paragraph"/>
        <w:spacing w:before="0" w:beforeAutospacing="0" w:after="0" w:afterAutospacing="0"/>
        <w:jc w:val="both"/>
        <w:textAlignment w:val="baseline"/>
        <w:rPr>
          <w:rStyle w:val="normaltextrun"/>
          <w:rFonts w:ascii="Arial" w:hAnsi="Arial" w:cs="Arial"/>
          <w:b/>
          <w:bCs/>
          <w:color w:val="000000"/>
        </w:rPr>
      </w:pPr>
      <w:r>
        <w:rPr>
          <w:rStyle w:val="normaltextrun"/>
          <w:rFonts w:ascii="Arial" w:hAnsi="Arial" w:cs="Arial"/>
          <w:b/>
          <w:bCs/>
          <w:color w:val="000000"/>
        </w:rPr>
        <w:t>Key Points:</w:t>
      </w:r>
    </w:p>
    <w:p w14:paraId="438D3EAC" w14:textId="49086862" w:rsidR="007C499B" w:rsidRPr="00806B1B" w:rsidRDefault="007C499B" w:rsidP="00806B1B">
      <w:pPr>
        <w:pStyle w:val="ListParagraph"/>
        <w:numPr>
          <w:ilvl w:val="0"/>
          <w:numId w:val="12"/>
        </w:numPr>
        <w:rPr>
          <w:rFonts w:asciiTheme="minorHAnsi" w:hAnsiTheme="minorHAnsi" w:cstheme="minorHAnsi"/>
          <w:b/>
          <w:bCs/>
        </w:rPr>
      </w:pPr>
      <w:r w:rsidRPr="007C499B">
        <w:rPr>
          <w:rStyle w:val="normaltextrun"/>
          <w:rFonts w:asciiTheme="minorHAnsi" w:hAnsiTheme="minorHAnsi" w:cstheme="minorHAnsi"/>
          <w:color w:val="000000"/>
          <w:sz w:val="22"/>
          <w:szCs w:val="22"/>
        </w:rPr>
        <w:t>The basis of completion for SBF110 is the regulatory risk location, i.e. the territory or territories whose regulations apply to an insurance contract.</w:t>
      </w:r>
      <w:r w:rsidRPr="007C499B">
        <w:rPr>
          <w:rStyle w:val="eop"/>
          <w:rFonts w:asciiTheme="minorHAnsi" w:hAnsiTheme="minorHAnsi" w:cstheme="minorHAnsi"/>
          <w:b/>
          <w:bCs/>
          <w:color w:val="000000"/>
          <w:sz w:val="22"/>
          <w:szCs w:val="22"/>
        </w:rPr>
        <w:t> </w:t>
      </w:r>
      <w:r w:rsidR="00806B1B" w:rsidRPr="007C499B">
        <w:rPr>
          <w:rStyle w:val="normaltextrun"/>
          <w:rFonts w:asciiTheme="minorHAnsi" w:hAnsiTheme="minorHAnsi" w:cstheme="minorHAnsi"/>
          <w:color w:val="000000"/>
          <w:sz w:val="22"/>
          <w:szCs w:val="22"/>
        </w:rPr>
        <w:t>Lloyd’s Insurance Company S.A was set up as a post-Brexit solution for policies where the regulatory risk location is in the EEA</w:t>
      </w:r>
      <w:r w:rsidR="00806B1B">
        <w:rPr>
          <w:rStyle w:val="eop"/>
          <w:rFonts w:asciiTheme="minorHAnsi" w:hAnsiTheme="minorHAnsi" w:cstheme="minorHAnsi"/>
          <w:color w:val="000000"/>
          <w:sz w:val="22"/>
          <w:szCs w:val="22"/>
        </w:rPr>
        <w:t>.</w:t>
      </w:r>
    </w:p>
    <w:p w14:paraId="7C2DB3E2" w14:textId="15F07191" w:rsidR="007C499B" w:rsidRPr="007C499B" w:rsidRDefault="007C499B" w:rsidP="007C499B">
      <w:pPr>
        <w:pStyle w:val="ListParagraph"/>
        <w:numPr>
          <w:ilvl w:val="0"/>
          <w:numId w:val="12"/>
        </w:numPr>
        <w:rPr>
          <w:rStyle w:val="eop"/>
          <w:rFonts w:asciiTheme="minorHAnsi" w:hAnsiTheme="minorHAnsi" w:cstheme="minorHAnsi"/>
          <w:b/>
          <w:bCs/>
        </w:rPr>
      </w:pPr>
      <w:r w:rsidRPr="007C499B">
        <w:rPr>
          <w:rStyle w:val="normaltextrun"/>
          <w:rFonts w:asciiTheme="minorHAnsi" w:hAnsiTheme="minorHAnsi" w:cstheme="minorHAnsi"/>
          <w:color w:val="000000"/>
          <w:sz w:val="22"/>
          <w:szCs w:val="22"/>
        </w:rPr>
        <w:t xml:space="preserve">For each Syndicate Class of Business, form SBF110 provides a forecast of Gross Written Premium (GWP) for each </w:t>
      </w:r>
      <w:r w:rsidR="00806B1B">
        <w:rPr>
          <w:rStyle w:val="normaltextrun"/>
          <w:rFonts w:asciiTheme="minorHAnsi" w:hAnsiTheme="minorHAnsi" w:cstheme="minorHAnsi"/>
          <w:color w:val="000000"/>
          <w:sz w:val="22"/>
          <w:szCs w:val="22"/>
        </w:rPr>
        <w:t xml:space="preserve">specific </w:t>
      </w:r>
      <w:r w:rsidRPr="007C499B">
        <w:rPr>
          <w:rStyle w:val="normaltextrun"/>
          <w:rFonts w:asciiTheme="minorHAnsi" w:hAnsiTheme="minorHAnsi" w:cstheme="minorHAnsi"/>
          <w:color w:val="000000"/>
          <w:sz w:val="22"/>
          <w:szCs w:val="22"/>
        </w:rPr>
        <w:t>country in Europe.</w:t>
      </w:r>
      <w:r w:rsidRPr="007C499B">
        <w:rPr>
          <w:rStyle w:val="eop"/>
          <w:rFonts w:asciiTheme="minorHAnsi" w:hAnsiTheme="minorHAnsi" w:cstheme="minorHAnsi"/>
          <w:b/>
          <w:bCs/>
          <w:color w:val="000000"/>
          <w:sz w:val="22"/>
          <w:szCs w:val="22"/>
        </w:rPr>
        <w:t> </w:t>
      </w:r>
    </w:p>
    <w:p w14:paraId="3A936823" w14:textId="569127ED" w:rsidR="007C499B" w:rsidRPr="007C499B" w:rsidRDefault="0072468B" w:rsidP="007C499B">
      <w:pPr>
        <w:pStyle w:val="ListParagraph"/>
        <w:numPr>
          <w:ilvl w:val="0"/>
          <w:numId w:val="12"/>
        </w:numPr>
        <w:rPr>
          <w:rStyle w:val="eop"/>
          <w:rFonts w:asciiTheme="minorHAnsi" w:hAnsiTheme="minorHAnsi" w:cstheme="minorHAnsi"/>
          <w:b/>
          <w:bCs/>
        </w:rPr>
      </w:pPr>
      <w:r w:rsidRPr="007C499B">
        <w:rPr>
          <w:rStyle w:val="normaltextrun"/>
          <w:rFonts w:asciiTheme="minorHAnsi" w:hAnsiTheme="minorHAnsi" w:cstheme="minorHAnsi"/>
          <w:sz w:val="22"/>
          <w:szCs w:val="22"/>
        </w:rPr>
        <w:t xml:space="preserve">Each class of business allocated “EU” distribution channel under the ‘risk code mapping of classes of business’ section (SBF051 Col A) </w:t>
      </w:r>
      <w:r w:rsidR="007C499B">
        <w:rPr>
          <w:rStyle w:val="normaltextrun"/>
          <w:rFonts w:asciiTheme="minorHAnsi" w:hAnsiTheme="minorHAnsi" w:cstheme="minorHAnsi"/>
          <w:sz w:val="22"/>
          <w:szCs w:val="22"/>
        </w:rPr>
        <w:t xml:space="preserve">should be provided an </w:t>
      </w:r>
      <w:r w:rsidRPr="007C499B">
        <w:rPr>
          <w:rStyle w:val="normaltextrun"/>
          <w:rFonts w:asciiTheme="minorHAnsi" w:hAnsiTheme="minorHAnsi" w:cstheme="minorHAnsi"/>
          <w:sz w:val="22"/>
          <w:szCs w:val="22"/>
        </w:rPr>
        <w:t xml:space="preserve">entry </w:t>
      </w:r>
      <w:r w:rsidR="007C499B">
        <w:rPr>
          <w:rStyle w:val="normaltextrun"/>
          <w:rFonts w:asciiTheme="minorHAnsi" w:hAnsiTheme="minorHAnsi" w:cstheme="minorHAnsi"/>
          <w:sz w:val="22"/>
          <w:szCs w:val="22"/>
        </w:rPr>
        <w:t>in the</w:t>
      </w:r>
      <w:r w:rsidR="00806B1B">
        <w:rPr>
          <w:rStyle w:val="normaltextrun"/>
          <w:rFonts w:asciiTheme="minorHAnsi" w:hAnsiTheme="minorHAnsi" w:cstheme="minorHAnsi"/>
          <w:sz w:val="22"/>
          <w:szCs w:val="22"/>
        </w:rPr>
        <w:t xml:space="preserve"> form</w:t>
      </w:r>
      <w:r w:rsidR="007C499B">
        <w:rPr>
          <w:rStyle w:val="normaltextrun"/>
          <w:rFonts w:asciiTheme="minorHAnsi" w:hAnsiTheme="minorHAnsi" w:cstheme="minorHAnsi"/>
          <w:sz w:val="22"/>
          <w:szCs w:val="22"/>
        </w:rPr>
        <w:t xml:space="preserve"> 110</w:t>
      </w:r>
      <w:r w:rsidRPr="007C499B">
        <w:rPr>
          <w:rStyle w:val="normaltextrun"/>
          <w:rFonts w:asciiTheme="minorHAnsi" w:hAnsiTheme="minorHAnsi" w:cstheme="minorHAnsi"/>
          <w:sz w:val="22"/>
          <w:szCs w:val="22"/>
        </w:rPr>
        <w:t xml:space="preserve">. If a class of business has not had “EU” distribution channel allocated to under SBF051 Col A then it </w:t>
      </w:r>
      <w:r w:rsidR="007C499B">
        <w:rPr>
          <w:rStyle w:val="normaltextrun"/>
          <w:rFonts w:asciiTheme="minorHAnsi" w:hAnsiTheme="minorHAnsi" w:cstheme="minorHAnsi"/>
          <w:sz w:val="22"/>
          <w:szCs w:val="22"/>
        </w:rPr>
        <w:t>should not appear in form 110</w:t>
      </w:r>
      <w:r w:rsidRPr="007C499B">
        <w:rPr>
          <w:rStyle w:val="normaltextrun"/>
          <w:rFonts w:asciiTheme="minorHAnsi" w:hAnsiTheme="minorHAnsi" w:cstheme="minorHAnsi"/>
          <w:sz w:val="22"/>
          <w:szCs w:val="22"/>
        </w:rPr>
        <w:t>.</w:t>
      </w:r>
      <w:r w:rsidRPr="007C499B">
        <w:rPr>
          <w:rStyle w:val="eop"/>
          <w:rFonts w:asciiTheme="minorHAnsi" w:hAnsiTheme="minorHAnsi" w:cstheme="minorHAnsi"/>
          <w:sz w:val="22"/>
          <w:szCs w:val="22"/>
        </w:rPr>
        <w:t> </w:t>
      </w:r>
    </w:p>
    <w:p w14:paraId="5A54A966" w14:textId="3C63A51B" w:rsidR="007C499B" w:rsidRPr="007C499B" w:rsidRDefault="0072468B" w:rsidP="007C499B">
      <w:pPr>
        <w:pStyle w:val="ListParagraph"/>
        <w:numPr>
          <w:ilvl w:val="0"/>
          <w:numId w:val="12"/>
        </w:numPr>
        <w:rPr>
          <w:rStyle w:val="eop"/>
          <w:rFonts w:asciiTheme="minorHAnsi" w:hAnsiTheme="minorHAnsi" w:cstheme="minorHAnsi"/>
          <w:b/>
          <w:bCs/>
        </w:rPr>
      </w:pPr>
      <w:r w:rsidRPr="007C499B">
        <w:rPr>
          <w:rStyle w:val="normaltextrun"/>
          <w:rFonts w:asciiTheme="minorHAnsi" w:hAnsiTheme="minorHAnsi" w:cstheme="minorHAnsi"/>
          <w:color w:val="000000"/>
          <w:sz w:val="22"/>
          <w:szCs w:val="22"/>
        </w:rPr>
        <w:t>The total premium in the SBF110 form should equal the total EU distribution</w:t>
      </w:r>
      <w:r w:rsidR="00806B1B">
        <w:rPr>
          <w:rStyle w:val="normaltextrun"/>
          <w:rFonts w:asciiTheme="minorHAnsi" w:hAnsiTheme="minorHAnsi" w:cstheme="minorHAnsi"/>
          <w:color w:val="000000"/>
          <w:sz w:val="22"/>
          <w:szCs w:val="22"/>
        </w:rPr>
        <w:t xml:space="preserve"> </w:t>
      </w:r>
      <w:r w:rsidRPr="007C499B">
        <w:rPr>
          <w:rStyle w:val="normaltextrun"/>
          <w:rFonts w:asciiTheme="minorHAnsi" w:hAnsiTheme="minorHAnsi" w:cstheme="minorHAnsi"/>
          <w:color w:val="000000"/>
          <w:sz w:val="22"/>
          <w:szCs w:val="22"/>
        </w:rPr>
        <w:t>Channel premium (form 105, total for Col C for Distribution Channel: EU - Europe)</w:t>
      </w:r>
      <w:r w:rsidR="00806B1B">
        <w:rPr>
          <w:rStyle w:val="normaltextrun"/>
          <w:rFonts w:asciiTheme="minorHAnsi" w:hAnsiTheme="minorHAnsi" w:cstheme="minorHAnsi"/>
          <w:color w:val="000000"/>
          <w:sz w:val="22"/>
          <w:szCs w:val="22"/>
        </w:rPr>
        <w:t>.</w:t>
      </w:r>
    </w:p>
    <w:p w14:paraId="3FAE11CC" w14:textId="66C623B4" w:rsidR="0072468B" w:rsidRPr="007C499B" w:rsidRDefault="0072468B" w:rsidP="007C499B">
      <w:pPr>
        <w:pStyle w:val="ListParagraph"/>
        <w:numPr>
          <w:ilvl w:val="0"/>
          <w:numId w:val="12"/>
        </w:numPr>
        <w:rPr>
          <w:rStyle w:val="eop"/>
          <w:rFonts w:asciiTheme="minorHAnsi" w:hAnsiTheme="minorHAnsi" w:cstheme="minorHAnsi"/>
          <w:b/>
          <w:bCs/>
        </w:rPr>
      </w:pPr>
      <w:r w:rsidRPr="007C499B">
        <w:rPr>
          <w:rStyle w:val="normaltextrun"/>
          <w:rFonts w:asciiTheme="minorHAnsi" w:hAnsiTheme="minorHAnsi" w:cstheme="minorHAnsi"/>
          <w:color w:val="000000"/>
          <w:sz w:val="22"/>
          <w:szCs w:val="22"/>
        </w:rPr>
        <w:t>Note the regulatory risk location is not always the same as the policyholder domicile, physical risk location, tax location, etc. For assistance in establishing the regulatory risk location, please refer to the Risk Locator Tool (RLT) which was built for Lloyd's market participants and houses thousands of risk location rules and triggers with the aim to assist in determining risk location(s).</w:t>
      </w:r>
      <w:r w:rsidRPr="007C499B">
        <w:rPr>
          <w:rStyle w:val="eop"/>
          <w:rFonts w:asciiTheme="minorHAnsi" w:hAnsiTheme="minorHAnsi" w:cstheme="minorHAnsi"/>
          <w:color w:val="000000"/>
          <w:sz w:val="22"/>
          <w:szCs w:val="22"/>
        </w:rPr>
        <w:t> </w:t>
      </w:r>
    </w:p>
    <w:p w14:paraId="13ED8AAD" w14:textId="77777777" w:rsidR="0072468B" w:rsidRPr="0072468B" w:rsidRDefault="0072468B" w:rsidP="0072468B">
      <w:pPr>
        <w:pStyle w:val="paragraph"/>
        <w:spacing w:before="0" w:beforeAutospacing="0" w:after="0" w:afterAutospacing="0"/>
        <w:jc w:val="both"/>
        <w:textAlignment w:val="baseline"/>
        <w:rPr>
          <w:rFonts w:asciiTheme="minorHAnsi" w:hAnsiTheme="minorHAnsi" w:cstheme="minorHAnsi"/>
          <w:color w:val="000000"/>
          <w:sz w:val="22"/>
          <w:szCs w:val="22"/>
        </w:rPr>
      </w:pPr>
    </w:p>
    <w:p w14:paraId="4944CC44" w14:textId="5F92CD71" w:rsidR="0072468B" w:rsidRDefault="00806B1B" w:rsidP="007C499B">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              </w:t>
      </w:r>
      <w:r w:rsidR="0072468B" w:rsidRPr="0072468B">
        <w:rPr>
          <w:rStyle w:val="normaltextrun"/>
          <w:rFonts w:asciiTheme="minorHAnsi" w:hAnsiTheme="minorHAnsi" w:cstheme="minorHAnsi"/>
          <w:color w:val="000000"/>
          <w:sz w:val="22"/>
          <w:szCs w:val="22"/>
        </w:rPr>
        <w:t>The Risk Locator Tool can be found on the following Link:</w:t>
      </w:r>
      <w:r w:rsidR="0072468B" w:rsidRPr="0072468B">
        <w:rPr>
          <w:rStyle w:val="eop"/>
          <w:rFonts w:asciiTheme="minorHAnsi" w:hAnsiTheme="minorHAnsi" w:cstheme="minorHAnsi"/>
          <w:color w:val="000000"/>
          <w:sz w:val="22"/>
          <w:szCs w:val="22"/>
        </w:rPr>
        <w:t> </w:t>
      </w:r>
      <w:hyperlink r:id="rId7" w:history="1">
        <w:r w:rsidR="007C499B" w:rsidRPr="00F35E2E">
          <w:rPr>
            <w:rStyle w:val="Hyperlink"/>
            <w:rFonts w:asciiTheme="minorHAnsi" w:hAnsiTheme="minorHAnsi" w:cstheme="minorHAnsi"/>
            <w:sz w:val="22"/>
            <w:szCs w:val="22"/>
          </w:rPr>
          <w:t>http://rlt.lloyds.com/</w:t>
        </w:r>
      </w:hyperlink>
      <w:r w:rsidR="0072468B" w:rsidRPr="0072468B">
        <w:rPr>
          <w:rStyle w:val="eop"/>
          <w:rFonts w:asciiTheme="minorHAnsi" w:hAnsiTheme="minorHAnsi" w:cstheme="minorHAnsi"/>
          <w:color w:val="000000"/>
          <w:sz w:val="22"/>
          <w:szCs w:val="22"/>
        </w:rPr>
        <w:t> </w:t>
      </w:r>
    </w:p>
    <w:p w14:paraId="0D842F2E" w14:textId="77777777" w:rsidR="007C499B" w:rsidRPr="007C499B" w:rsidRDefault="007C499B" w:rsidP="007C499B">
      <w:pPr>
        <w:pStyle w:val="paragraph"/>
        <w:spacing w:before="0" w:beforeAutospacing="0" w:after="0" w:afterAutospacing="0"/>
        <w:jc w:val="both"/>
        <w:textAlignment w:val="baseline"/>
        <w:rPr>
          <w:rFonts w:asciiTheme="minorHAnsi" w:hAnsiTheme="minorHAnsi" w:cstheme="minorHAnsi"/>
          <w:color w:val="000000"/>
          <w:sz w:val="18"/>
          <w:szCs w:val="18"/>
        </w:rPr>
      </w:pPr>
    </w:p>
    <w:p w14:paraId="3FF50BA9" w14:textId="32AB576E" w:rsidR="0072468B" w:rsidRDefault="007C499B" w:rsidP="00AA5F1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noProof/>
        </w:rPr>
        <w:drawing>
          <wp:inline distT="0" distB="0" distL="0" distR="0" wp14:anchorId="6A54555D" wp14:editId="7718CEAB">
            <wp:extent cx="4678326" cy="2854571"/>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7802" cy="2872557"/>
                    </a:xfrm>
                    <a:prstGeom prst="rect">
                      <a:avLst/>
                    </a:prstGeom>
                  </pic:spPr>
                </pic:pic>
              </a:graphicData>
            </a:graphic>
          </wp:inline>
        </w:drawing>
      </w:r>
    </w:p>
    <w:p w14:paraId="61CD3A6F" w14:textId="77777777" w:rsidR="007560E9" w:rsidRPr="007560E9" w:rsidRDefault="007560E9" w:rsidP="007560E9">
      <w:pPr>
        <w:rPr>
          <w:rFonts w:ascii="Arial" w:hAnsi="Arial" w:cs="Arial"/>
          <w:sz w:val="22"/>
          <w:szCs w:val="22"/>
        </w:rPr>
      </w:pPr>
    </w:p>
    <w:sectPr w:rsidR="007560E9" w:rsidRPr="007560E9" w:rsidSect="007C499B">
      <w:footerReference w:type="default" r:id="rId9"/>
      <w:pgSz w:w="11907" w:h="16840" w:code="9"/>
      <w:pgMar w:top="993"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6C87" w14:textId="77777777" w:rsidR="005A254F" w:rsidRDefault="005A254F" w:rsidP="00FE33A0">
      <w:r>
        <w:separator/>
      </w:r>
    </w:p>
  </w:endnote>
  <w:endnote w:type="continuationSeparator" w:id="0">
    <w:p w14:paraId="554E67B8" w14:textId="77777777" w:rsidR="005A254F" w:rsidRDefault="005A254F" w:rsidP="00FE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77D5" w14:textId="77777777" w:rsidR="00FE33A0" w:rsidRDefault="00FE33A0">
    <w:pPr>
      <w:pStyle w:val="Footer"/>
    </w:pPr>
    <w:r>
      <w:rPr>
        <w:noProof/>
      </w:rPr>
      <mc:AlternateContent>
        <mc:Choice Requires="wps">
          <w:drawing>
            <wp:anchor distT="0" distB="0" distL="114300" distR="114300" simplePos="0" relativeHeight="251659264" behindDoc="0" locked="0" layoutInCell="0" allowOverlap="1" wp14:anchorId="769CE506" wp14:editId="7C0B0DDD">
              <wp:simplePos x="0" y="0"/>
              <wp:positionH relativeFrom="page">
                <wp:posOffset>0</wp:posOffset>
              </wp:positionH>
              <wp:positionV relativeFrom="page">
                <wp:posOffset>10229215</wp:posOffset>
              </wp:positionV>
              <wp:extent cx="7560945" cy="273050"/>
              <wp:effectExtent l="0" t="0" r="0" b="12700"/>
              <wp:wrapNone/>
              <wp:docPr id="1" name="MSIPCM1987463292b0d0d991b04aeb"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1FCCB2" w14:textId="3DCD1A41" w:rsidR="00FE33A0" w:rsidRPr="00FE33A0" w:rsidRDefault="00806B1B" w:rsidP="00FE33A0">
                          <w:pPr>
                            <w:jc w:val="center"/>
                            <w:rPr>
                              <w:rFonts w:ascii="Calibri" w:hAnsi="Calibri" w:cs="Calibri"/>
                              <w:color w:val="000000"/>
                              <w:sz w:val="20"/>
                            </w:rPr>
                          </w:pPr>
                          <w:r>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9CE506" id="_x0000_t202" coordsize="21600,21600" o:spt="202" path="m,l,21600r21600,l21600,xe">
              <v:stroke joinstyle="miter"/>
              <v:path gradientshapeok="t" o:connecttype="rect"/>
            </v:shapetype>
            <v:shape id="MSIPCM1987463292b0d0d991b04aeb"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QsAIAAEYFAAAOAAAAZHJzL2Uyb0RvYy54bWysVE1v2zAMvQ/YfxB02GmLHTdJY69OkaXI&#10;ViBtA6RDz7IsxwZsUZWUxtmw/z7KVtKP7TTsIlEkRYqPj7q4bJuaPAltKpApHQ5CSoTkkFdym9Lv&#10;98tPU0qMZTJnNUiR0oMw9HL2/t3FXiUighLqXGiCQaRJ9iqlpbUqCQLDS9EwMwAlJBoL0A2zeNTb&#10;INdsj9GbOojCcBLsQedKAxfGoPaqN9JZF78oBLd3RWGEJXVK8W22W3W3Zm4NZhcs2Wqmyor7Z7B/&#10;eEXDKolJT6GumGVkp6s/QjUV12CgsAMOTQBFUXHR1YDVDMM31WxKpkRXC4Jj1Akm8//C8tuntSZV&#10;jr2jRLIGW3SzuV4vbobx9Hw0OYviKAvzMI/jYRaOmMgoyYXhiODPD487sJ+/MVMuIBf9Kfk0jeI4&#10;mk6mk4/eLqptab11OooGoTc8VLktvX4cj0/6dc24aIQ83uldlgBW6F72Aa5lLlofoN/WumqYPrzy&#10;2iAFkJveb+jv3oPymvCUeCWKY05U/nLU2CuTIEIbhRjZ9gu0DiavN6h0HW8L3bgde0nQjiQ7nIgl&#10;Wks4Ks/HkzAejSnhaIvOz8Jxx7zg+bbSxn4V0BAnpFTjqzs+saeVsZgRXY8uLpmEZVXXHXlrSfYp&#10;nZxhyFcWvFFLvOhq6N/qJNtmrS8gg/yAdWnoh8Iovqww+YoZu2YapwBLwcm2d7gUNWAS8BIlJegf&#10;f9M7fyQnWinZ41Sl1DzumBaU1NcSaRsPRyM3ht0BBf1Smx21ctcsAAcWKYmv6kTna+ujWGhoHnDw&#10;5y4bmpjkmDOlyM5eXFg8oQE/Di7m807GgVPMruRGcRfageUgvW8fmFYed4sdu4Xj3LHkDfy9bw/z&#10;fGehqLreOGB7ND3eOKxdy/zH4n6Dl+fO6/n7m/0G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HSIf5CwAgAARgUAAA4A&#10;AAAAAAAAAAAAAAAALgIAAGRycy9lMm9Eb2MueG1sUEsBAi0AFAAGAAgAAAAhABFyp37fAAAACwEA&#10;AA8AAAAAAAAAAAAAAAAACgUAAGRycy9kb3ducmV2LnhtbFBLBQYAAAAABAAEAPMAAAAWBgAAAAA=&#10;" o:allowincell="f" filled="f" stroked="f" strokeweight=".5pt">
              <v:textbox inset=",0,,0">
                <w:txbxContent>
                  <w:p w14:paraId="4F1FCCB2" w14:textId="3DCD1A41" w:rsidR="00FE33A0" w:rsidRPr="00FE33A0" w:rsidRDefault="00806B1B" w:rsidP="00FE33A0">
                    <w:pPr>
                      <w:jc w:val="center"/>
                      <w:rPr>
                        <w:rFonts w:ascii="Calibri" w:hAnsi="Calibri" w:cs="Calibri"/>
                        <w:color w:val="000000"/>
                        <w:sz w:val="20"/>
                      </w:rPr>
                    </w:pPr>
                    <w:r>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B0EA" w14:textId="77777777" w:rsidR="005A254F" w:rsidRDefault="005A254F" w:rsidP="00FE33A0">
      <w:r>
        <w:separator/>
      </w:r>
    </w:p>
  </w:footnote>
  <w:footnote w:type="continuationSeparator" w:id="0">
    <w:p w14:paraId="30B8186E" w14:textId="77777777" w:rsidR="005A254F" w:rsidRDefault="005A254F" w:rsidP="00FE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9CC0295"/>
    <w:multiLevelType w:val="multilevel"/>
    <w:tmpl w:val="9CDC2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B6101"/>
    <w:multiLevelType w:val="multilevel"/>
    <w:tmpl w:val="3E629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10620DB"/>
    <w:multiLevelType w:val="hybridMultilevel"/>
    <w:tmpl w:val="56186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61A6"/>
    <w:multiLevelType w:val="multilevel"/>
    <w:tmpl w:val="AEE4E1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8" w15:restartNumberingAfterBreak="0">
    <w:nsid w:val="636F6E91"/>
    <w:multiLevelType w:val="multilevel"/>
    <w:tmpl w:val="E5603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57BFA"/>
    <w:multiLevelType w:val="multilevel"/>
    <w:tmpl w:val="DFC0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53587E"/>
    <w:multiLevelType w:val="multilevel"/>
    <w:tmpl w:val="59B03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4"/>
  </w:num>
  <w:num w:numId="2">
    <w:abstractNumId w:val="7"/>
  </w:num>
  <w:num w:numId="3">
    <w:abstractNumId w:val="1"/>
  </w:num>
  <w:num w:numId="4">
    <w:abstractNumId w:val="0"/>
  </w:num>
  <w:num w:numId="5">
    <w:abstractNumId w:val="11"/>
  </w:num>
  <w:num w:numId="6">
    <w:abstractNumId w:val="9"/>
  </w:num>
  <w:num w:numId="7">
    <w:abstractNumId w:val="8"/>
  </w:num>
  <w:num w:numId="8">
    <w:abstractNumId w:val="10"/>
  </w:num>
  <w:num w:numId="9">
    <w:abstractNumId w:val="2"/>
  </w:num>
  <w:num w:numId="10">
    <w:abstractNumId w:val="3"/>
  </w:num>
  <w:num w:numId="11">
    <w:abstractNumId w:val="6"/>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hideSpellingErrors/>
  <w:hideGrammaticalErrors/>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70"/>
    <w:rsid w:val="00143E5C"/>
    <w:rsid w:val="001C4670"/>
    <w:rsid w:val="001F5741"/>
    <w:rsid w:val="00240C2E"/>
    <w:rsid w:val="0028370C"/>
    <w:rsid w:val="002B39B9"/>
    <w:rsid w:val="002C55F8"/>
    <w:rsid w:val="002E1846"/>
    <w:rsid w:val="002F4CED"/>
    <w:rsid w:val="003517FB"/>
    <w:rsid w:val="00367701"/>
    <w:rsid w:val="003E3208"/>
    <w:rsid w:val="005A254F"/>
    <w:rsid w:val="005D3768"/>
    <w:rsid w:val="006D5A56"/>
    <w:rsid w:val="0072468B"/>
    <w:rsid w:val="007560E9"/>
    <w:rsid w:val="007C499B"/>
    <w:rsid w:val="007D45D8"/>
    <w:rsid w:val="00806B1B"/>
    <w:rsid w:val="0081541D"/>
    <w:rsid w:val="008334BB"/>
    <w:rsid w:val="00854B58"/>
    <w:rsid w:val="008C5007"/>
    <w:rsid w:val="00902D48"/>
    <w:rsid w:val="0091465A"/>
    <w:rsid w:val="009504E5"/>
    <w:rsid w:val="009A0EC2"/>
    <w:rsid w:val="00A51257"/>
    <w:rsid w:val="00AA5F1C"/>
    <w:rsid w:val="00AB527B"/>
    <w:rsid w:val="00D965D6"/>
    <w:rsid w:val="00DA2C0B"/>
    <w:rsid w:val="00E37CBF"/>
    <w:rsid w:val="00F131E7"/>
    <w:rsid w:val="00FE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B1D1"/>
  <w15:chartTrackingRefBased/>
  <w15:docId w15:val="{7BF06EE0-4558-46BD-8262-A511EECD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NormalWeb">
    <w:name w:val="Normal (Web)"/>
    <w:basedOn w:val="Normal"/>
    <w:uiPriority w:val="99"/>
    <w:semiHidden/>
    <w:unhideWhenUsed/>
    <w:rsid w:val="007560E9"/>
    <w:pPr>
      <w:spacing w:before="100" w:beforeAutospacing="1" w:after="100" w:afterAutospacing="1"/>
    </w:pPr>
    <w:rPr>
      <w:szCs w:val="24"/>
    </w:rPr>
  </w:style>
  <w:style w:type="paragraph" w:styleId="Header">
    <w:name w:val="header"/>
    <w:basedOn w:val="Normal"/>
    <w:link w:val="HeaderChar"/>
    <w:uiPriority w:val="99"/>
    <w:unhideWhenUsed/>
    <w:rsid w:val="00FE33A0"/>
    <w:pPr>
      <w:tabs>
        <w:tab w:val="center" w:pos="4513"/>
        <w:tab w:val="right" w:pos="9026"/>
      </w:tabs>
    </w:pPr>
  </w:style>
  <w:style w:type="character" w:customStyle="1" w:styleId="HeaderChar">
    <w:name w:val="Header Char"/>
    <w:basedOn w:val="DefaultParagraphFont"/>
    <w:link w:val="Header"/>
    <w:uiPriority w:val="99"/>
    <w:rsid w:val="00FE33A0"/>
    <w:rPr>
      <w:sz w:val="24"/>
    </w:rPr>
  </w:style>
  <w:style w:type="paragraph" w:styleId="Footer">
    <w:name w:val="footer"/>
    <w:basedOn w:val="Normal"/>
    <w:link w:val="FooterChar"/>
    <w:uiPriority w:val="99"/>
    <w:unhideWhenUsed/>
    <w:rsid w:val="00FE33A0"/>
    <w:pPr>
      <w:tabs>
        <w:tab w:val="center" w:pos="4513"/>
        <w:tab w:val="right" w:pos="9026"/>
      </w:tabs>
    </w:pPr>
  </w:style>
  <w:style w:type="character" w:customStyle="1" w:styleId="FooterChar">
    <w:name w:val="Footer Char"/>
    <w:basedOn w:val="DefaultParagraphFont"/>
    <w:link w:val="Footer"/>
    <w:uiPriority w:val="99"/>
    <w:rsid w:val="00FE33A0"/>
    <w:rPr>
      <w:sz w:val="24"/>
    </w:rPr>
  </w:style>
  <w:style w:type="character" w:styleId="Hyperlink">
    <w:name w:val="Hyperlink"/>
    <w:basedOn w:val="DefaultParagraphFont"/>
    <w:uiPriority w:val="99"/>
    <w:unhideWhenUsed/>
    <w:rsid w:val="008C5007"/>
    <w:rPr>
      <w:color w:val="0000FF" w:themeColor="hyperlink"/>
      <w:u w:val="single"/>
    </w:rPr>
  </w:style>
  <w:style w:type="character" w:styleId="UnresolvedMention">
    <w:name w:val="Unresolved Mention"/>
    <w:basedOn w:val="DefaultParagraphFont"/>
    <w:uiPriority w:val="99"/>
    <w:semiHidden/>
    <w:unhideWhenUsed/>
    <w:rsid w:val="008C5007"/>
    <w:rPr>
      <w:color w:val="605E5C"/>
      <w:shd w:val="clear" w:color="auto" w:fill="E1DFDD"/>
    </w:rPr>
  </w:style>
  <w:style w:type="paragraph" w:customStyle="1" w:styleId="paragraph">
    <w:name w:val="paragraph"/>
    <w:basedOn w:val="Normal"/>
    <w:rsid w:val="003517FB"/>
    <w:pPr>
      <w:spacing w:before="100" w:beforeAutospacing="1" w:after="100" w:afterAutospacing="1"/>
    </w:pPr>
    <w:rPr>
      <w:szCs w:val="24"/>
    </w:rPr>
  </w:style>
  <w:style w:type="character" w:customStyle="1" w:styleId="normaltextrun">
    <w:name w:val="normaltextrun"/>
    <w:basedOn w:val="DefaultParagraphFont"/>
    <w:rsid w:val="003517FB"/>
  </w:style>
  <w:style w:type="character" w:customStyle="1" w:styleId="eop">
    <w:name w:val="eop"/>
    <w:basedOn w:val="DefaultParagraphFont"/>
    <w:rsid w:val="003517FB"/>
  </w:style>
  <w:style w:type="paragraph" w:styleId="BalloonText">
    <w:name w:val="Balloon Text"/>
    <w:basedOn w:val="Normal"/>
    <w:link w:val="BalloonTextChar"/>
    <w:uiPriority w:val="99"/>
    <w:semiHidden/>
    <w:unhideWhenUsed/>
    <w:rsid w:val="00DA2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0B"/>
    <w:rPr>
      <w:rFonts w:ascii="Segoe UI" w:hAnsi="Segoe UI" w:cs="Segoe UI"/>
      <w:sz w:val="18"/>
      <w:szCs w:val="18"/>
    </w:rPr>
  </w:style>
  <w:style w:type="paragraph" w:styleId="ListParagraph">
    <w:name w:val="List Paragraph"/>
    <w:basedOn w:val="Normal"/>
    <w:uiPriority w:val="34"/>
    <w:qFormat/>
    <w:rsid w:val="007C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0789">
      <w:bodyDiv w:val="1"/>
      <w:marLeft w:val="0"/>
      <w:marRight w:val="0"/>
      <w:marTop w:val="0"/>
      <w:marBottom w:val="0"/>
      <w:divBdr>
        <w:top w:val="none" w:sz="0" w:space="0" w:color="auto"/>
        <w:left w:val="none" w:sz="0" w:space="0" w:color="auto"/>
        <w:bottom w:val="none" w:sz="0" w:space="0" w:color="auto"/>
        <w:right w:val="none" w:sz="0" w:space="0" w:color="auto"/>
      </w:divBdr>
      <w:divsChild>
        <w:div w:id="1990480458">
          <w:marLeft w:val="0"/>
          <w:marRight w:val="0"/>
          <w:marTop w:val="0"/>
          <w:marBottom w:val="0"/>
          <w:divBdr>
            <w:top w:val="none" w:sz="0" w:space="0" w:color="auto"/>
            <w:left w:val="none" w:sz="0" w:space="0" w:color="auto"/>
            <w:bottom w:val="none" w:sz="0" w:space="0" w:color="auto"/>
            <w:right w:val="none" w:sz="0" w:space="0" w:color="auto"/>
          </w:divBdr>
          <w:divsChild>
            <w:div w:id="1161577020">
              <w:marLeft w:val="0"/>
              <w:marRight w:val="0"/>
              <w:marTop w:val="0"/>
              <w:marBottom w:val="0"/>
              <w:divBdr>
                <w:top w:val="none" w:sz="0" w:space="0" w:color="auto"/>
                <w:left w:val="none" w:sz="0" w:space="0" w:color="auto"/>
                <w:bottom w:val="none" w:sz="0" w:space="0" w:color="auto"/>
                <w:right w:val="none" w:sz="0" w:space="0" w:color="auto"/>
              </w:divBdr>
            </w:div>
            <w:div w:id="1052118498">
              <w:marLeft w:val="0"/>
              <w:marRight w:val="0"/>
              <w:marTop w:val="0"/>
              <w:marBottom w:val="0"/>
              <w:divBdr>
                <w:top w:val="none" w:sz="0" w:space="0" w:color="auto"/>
                <w:left w:val="none" w:sz="0" w:space="0" w:color="auto"/>
                <w:bottom w:val="none" w:sz="0" w:space="0" w:color="auto"/>
                <w:right w:val="none" w:sz="0" w:space="0" w:color="auto"/>
              </w:divBdr>
            </w:div>
            <w:div w:id="216744344">
              <w:marLeft w:val="0"/>
              <w:marRight w:val="0"/>
              <w:marTop w:val="0"/>
              <w:marBottom w:val="0"/>
              <w:divBdr>
                <w:top w:val="none" w:sz="0" w:space="0" w:color="auto"/>
                <w:left w:val="none" w:sz="0" w:space="0" w:color="auto"/>
                <w:bottom w:val="none" w:sz="0" w:space="0" w:color="auto"/>
                <w:right w:val="none" w:sz="0" w:space="0" w:color="auto"/>
              </w:divBdr>
            </w:div>
          </w:divsChild>
        </w:div>
        <w:div w:id="1301765993">
          <w:marLeft w:val="0"/>
          <w:marRight w:val="0"/>
          <w:marTop w:val="0"/>
          <w:marBottom w:val="0"/>
          <w:divBdr>
            <w:top w:val="none" w:sz="0" w:space="0" w:color="auto"/>
            <w:left w:val="none" w:sz="0" w:space="0" w:color="auto"/>
            <w:bottom w:val="none" w:sz="0" w:space="0" w:color="auto"/>
            <w:right w:val="none" w:sz="0" w:space="0" w:color="auto"/>
          </w:divBdr>
          <w:divsChild>
            <w:div w:id="60522420">
              <w:marLeft w:val="0"/>
              <w:marRight w:val="0"/>
              <w:marTop w:val="0"/>
              <w:marBottom w:val="0"/>
              <w:divBdr>
                <w:top w:val="none" w:sz="0" w:space="0" w:color="auto"/>
                <w:left w:val="none" w:sz="0" w:space="0" w:color="auto"/>
                <w:bottom w:val="none" w:sz="0" w:space="0" w:color="auto"/>
                <w:right w:val="none" w:sz="0" w:space="0" w:color="auto"/>
              </w:divBdr>
            </w:div>
            <w:div w:id="171189731">
              <w:marLeft w:val="0"/>
              <w:marRight w:val="0"/>
              <w:marTop w:val="0"/>
              <w:marBottom w:val="0"/>
              <w:divBdr>
                <w:top w:val="none" w:sz="0" w:space="0" w:color="auto"/>
                <w:left w:val="none" w:sz="0" w:space="0" w:color="auto"/>
                <w:bottom w:val="none" w:sz="0" w:space="0" w:color="auto"/>
                <w:right w:val="none" w:sz="0" w:space="0" w:color="auto"/>
              </w:divBdr>
            </w:div>
            <w:div w:id="437608652">
              <w:marLeft w:val="0"/>
              <w:marRight w:val="0"/>
              <w:marTop w:val="0"/>
              <w:marBottom w:val="0"/>
              <w:divBdr>
                <w:top w:val="none" w:sz="0" w:space="0" w:color="auto"/>
                <w:left w:val="none" w:sz="0" w:space="0" w:color="auto"/>
                <w:bottom w:val="none" w:sz="0" w:space="0" w:color="auto"/>
                <w:right w:val="none" w:sz="0" w:space="0" w:color="auto"/>
              </w:divBdr>
            </w:div>
            <w:div w:id="377702858">
              <w:marLeft w:val="0"/>
              <w:marRight w:val="0"/>
              <w:marTop w:val="0"/>
              <w:marBottom w:val="0"/>
              <w:divBdr>
                <w:top w:val="none" w:sz="0" w:space="0" w:color="auto"/>
                <w:left w:val="none" w:sz="0" w:space="0" w:color="auto"/>
                <w:bottom w:val="none" w:sz="0" w:space="0" w:color="auto"/>
                <w:right w:val="none" w:sz="0" w:space="0" w:color="auto"/>
              </w:divBdr>
            </w:div>
            <w:div w:id="567620070">
              <w:marLeft w:val="0"/>
              <w:marRight w:val="0"/>
              <w:marTop w:val="0"/>
              <w:marBottom w:val="0"/>
              <w:divBdr>
                <w:top w:val="none" w:sz="0" w:space="0" w:color="auto"/>
                <w:left w:val="none" w:sz="0" w:space="0" w:color="auto"/>
                <w:bottom w:val="none" w:sz="0" w:space="0" w:color="auto"/>
                <w:right w:val="none" w:sz="0" w:space="0" w:color="auto"/>
              </w:divBdr>
            </w:div>
          </w:divsChild>
        </w:div>
        <w:div w:id="1507359791">
          <w:marLeft w:val="0"/>
          <w:marRight w:val="0"/>
          <w:marTop w:val="0"/>
          <w:marBottom w:val="0"/>
          <w:divBdr>
            <w:top w:val="none" w:sz="0" w:space="0" w:color="auto"/>
            <w:left w:val="none" w:sz="0" w:space="0" w:color="auto"/>
            <w:bottom w:val="none" w:sz="0" w:space="0" w:color="auto"/>
            <w:right w:val="none" w:sz="0" w:space="0" w:color="auto"/>
          </w:divBdr>
          <w:divsChild>
            <w:div w:id="78528626">
              <w:marLeft w:val="0"/>
              <w:marRight w:val="0"/>
              <w:marTop w:val="0"/>
              <w:marBottom w:val="0"/>
              <w:divBdr>
                <w:top w:val="none" w:sz="0" w:space="0" w:color="auto"/>
                <w:left w:val="none" w:sz="0" w:space="0" w:color="auto"/>
                <w:bottom w:val="none" w:sz="0" w:space="0" w:color="auto"/>
                <w:right w:val="none" w:sz="0" w:space="0" w:color="auto"/>
              </w:divBdr>
            </w:div>
            <w:div w:id="1999771139">
              <w:marLeft w:val="0"/>
              <w:marRight w:val="0"/>
              <w:marTop w:val="0"/>
              <w:marBottom w:val="0"/>
              <w:divBdr>
                <w:top w:val="none" w:sz="0" w:space="0" w:color="auto"/>
                <w:left w:val="none" w:sz="0" w:space="0" w:color="auto"/>
                <w:bottom w:val="none" w:sz="0" w:space="0" w:color="auto"/>
                <w:right w:val="none" w:sz="0" w:space="0" w:color="auto"/>
              </w:divBdr>
            </w:div>
            <w:div w:id="1239438098">
              <w:marLeft w:val="0"/>
              <w:marRight w:val="0"/>
              <w:marTop w:val="0"/>
              <w:marBottom w:val="0"/>
              <w:divBdr>
                <w:top w:val="none" w:sz="0" w:space="0" w:color="auto"/>
                <w:left w:val="none" w:sz="0" w:space="0" w:color="auto"/>
                <w:bottom w:val="none" w:sz="0" w:space="0" w:color="auto"/>
                <w:right w:val="none" w:sz="0" w:space="0" w:color="auto"/>
              </w:divBdr>
            </w:div>
            <w:div w:id="983510714">
              <w:marLeft w:val="0"/>
              <w:marRight w:val="0"/>
              <w:marTop w:val="0"/>
              <w:marBottom w:val="0"/>
              <w:divBdr>
                <w:top w:val="none" w:sz="0" w:space="0" w:color="auto"/>
                <w:left w:val="none" w:sz="0" w:space="0" w:color="auto"/>
                <w:bottom w:val="none" w:sz="0" w:space="0" w:color="auto"/>
                <w:right w:val="none" w:sz="0" w:space="0" w:color="auto"/>
              </w:divBdr>
            </w:div>
            <w:div w:id="1237285248">
              <w:marLeft w:val="0"/>
              <w:marRight w:val="0"/>
              <w:marTop w:val="0"/>
              <w:marBottom w:val="0"/>
              <w:divBdr>
                <w:top w:val="none" w:sz="0" w:space="0" w:color="auto"/>
                <w:left w:val="none" w:sz="0" w:space="0" w:color="auto"/>
                <w:bottom w:val="none" w:sz="0" w:space="0" w:color="auto"/>
                <w:right w:val="none" w:sz="0" w:space="0" w:color="auto"/>
              </w:divBdr>
            </w:div>
          </w:divsChild>
        </w:div>
        <w:div w:id="1262223863">
          <w:marLeft w:val="0"/>
          <w:marRight w:val="0"/>
          <w:marTop w:val="0"/>
          <w:marBottom w:val="0"/>
          <w:divBdr>
            <w:top w:val="none" w:sz="0" w:space="0" w:color="auto"/>
            <w:left w:val="none" w:sz="0" w:space="0" w:color="auto"/>
            <w:bottom w:val="none" w:sz="0" w:space="0" w:color="auto"/>
            <w:right w:val="none" w:sz="0" w:space="0" w:color="auto"/>
          </w:divBdr>
        </w:div>
        <w:div w:id="1526869172">
          <w:marLeft w:val="0"/>
          <w:marRight w:val="0"/>
          <w:marTop w:val="0"/>
          <w:marBottom w:val="0"/>
          <w:divBdr>
            <w:top w:val="none" w:sz="0" w:space="0" w:color="auto"/>
            <w:left w:val="none" w:sz="0" w:space="0" w:color="auto"/>
            <w:bottom w:val="none" w:sz="0" w:space="0" w:color="auto"/>
            <w:right w:val="none" w:sz="0" w:space="0" w:color="auto"/>
          </w:divBdr>
        </w:div>
      </w:divsChild>
    </w:div>
    <w:div w:id="450516762">
      <w:bodyDiv w:val="1"/>
      <w:marLeft w:val="0"/>
      <w:marRight w:val="0"/>
      <w:marTop w:val="0"/>
      <w:marBottom w:val="0"/>
      <w:divBdr>
        <w:top w:val="none" w:sz="0" w:space="0" w:color="auto"/>
        <w:left w:val="none" w:sz="0" w:space="0" w:color="auto"/>
        <w:bottom w:val="none" w:sz="0" w:space="0" w:color="auto"/>
        <w:right w:val="none" w:sz="0" w:space="0" w:color="auto"/>
      </w:divBdr>
    </w:div>
    <w:div w:id="1464931125">
      <w:bodyDiv w:val="1"/>
      <w:marLeft w:val="0"/>
      <w:marRight w:val="0"/>
      <w:marTop w:val="0"/>
      <w:marBottom w:val="0"/>
      <w:divBdr>
        <w:top w:val="none" w:sz="0" w:space="0" w:color="auto"/>
        <w:left w:val="none" w:sz="0" w:space="0" w:color="auto"/>
        <w:bottom w:val="none" w:sz="0" w:space="0" w:color="auto"/>
        <w:right w:val="none" w:sz="0" w:space="0" w:color="auto"/>
      </w:divBdr>
    </w:div>
    <w:div w:id="1529828736">
      <w:bodyDiv w:val="1"/>
      <w:marLeft w:val="0"/>
      <w:marRight w:val="0"/>
      <w:marTop w:val="0"/>
      <w:marBottom w:val="0"/>
      <w:divBdr>
        <w:top w:val="none" w:sz="0" w:space="0" w:color="auto"/>
        <w:left w:val="none" w:sz="0" w:space="0" w:color="auto"/>
        <w:bottom w:val="none" w:sz="0" w:space="0" w:color="auto"/>
        <w:right w:val="none" w:sz="0" w:space="0" w:color="auto"/>
      </w:divBdr>
    </w:div>
    <w:div w:id="18830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rlt.lloy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Wootten, Vicki</dc:creator>
  <cp:keywords/>
  <dc:description/>
  <cp:lastModifiedBy>Wootten, Vicki</cp:lastModifiedBy>
  <cp:revision>2</cp:revision>
  <dcterms:created xsi:type="dcterms:W3CDTF">2021-08-03T09:21:00Z</dcterms:created>
  <dcterms:modified xsi:type="dcterms:W3CDTF">2021-08-03T09:21:00Z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2021-08-03T09:21:55Z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
  </property>
  <property fmtid="{D5CDD505-2E9C-101B-9397-08002B2CF9AE}" pid="8" name="MSIP_Label_b3b4ac1b-ad46-41e5-bbef-cfcc59b99d32_ContentBits">
    <vt:lpwstr>2</vt:lpwstr>
  </property>
</Properties>
</file>