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8D" w:rsidRPr="00F64A84" w:rsidRDefault="0049718D" w:rsidP="00F64A84">
      <w:pPr>
        <w:spacing w:line="240" w:lineRule="auto"/>
        <w:rPr>
          <w:b/>
          <w:color w:val="1E35BF"/>
          <w:sz w:val="28"/>
          <w:szCs w:val="28"/>
        </w:rPr>
      </w:pPr>
      <w:r w:rsidRPr="00F64A84">
        <w:rPr>
          <w:b/>
          <w:color w:val="1E35BF"/>
          <w:sz w:val="28"/>
          <w:szCs w:val="28"/>
        </w:rPr>
        <w:t>Victoria Louise Carter</w:t>
      </w:r>
    </w:p>
    <w:p w:rsidR="0049718D" w:rsidRPr="00F64A84" w:rsidRDefault="0049718D" w:rsidP="00F64A84">
      <w:pPr>
        <w:spacing w:line="240" w:lineRule="auto"/>
        <w:rPr>
          <w:b/>
          <w:color w:val="1E35BF"/>
          <w:sz w:val="28"/>
          <w:szCs w:val="28"/>
        </w:rPr>
      </w:pPr>
      <w:r w:rsidRPr="00F64A84">
        <w:rPr>
          <w:b/>
          <w:color w:val="1E35BF"/>
          <w:sz w:val="28"/>
          <w:szCs w:val="28"/>
        </w:rPr>
        <w:t>Working Member</w:t>
      </w:r>
    </w:p>
    <w:p w:rsidR="00C70FDF" w:rsidRPr="00C70FDF" w:rsidRDefault="00C70FDF" w:rsidP="00C70FDF">
      <w:pPr>
        <w:spacing w:line="240" w:lineRule="auto"/>
        <w:rPr>
          <w:b/>
          <w:sz w:val="28"/>
          <w:szCs w:val="28"/>
        </w:rPr>
      </w:pPr>
      <w:r w:rsidRPr="00C70FDF">
        <w:rPr>
          <w:b/>
          <w:sz w:val="28"/>
          <w:szCs w:val="28"/>
        </w:rPr>
        <w:t>Statement</w:t>
      </w:r>
    </w:p>
    <w:p w:rsidR="00C70FDF" w:rsidRDefault="0049718D" w:rsidP="005D3768">
      <w:pPr>
        <w:rPr>
          <w:rFonts w:cs="Arial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26133B34" wp14:editId="4AD2F90E">
            <wp:extent cx="2828290" cy="288817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88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9718D" w:rsidRPr="00721349" w:rsidRDefault="00F64A84" w:rsidP="004971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49718D" w:rsidRPr="00721349">
        <w:rPr>
          <w:rFonts w:cs="Arial"/>
          <w:sz w:val="22"/>
          <w:szCs w:val="22"/>
        </w:rPr>
        <w:t>I have had the enormous pleasure of working as a Lloyd’s</w:t>
      </w:r>
      <w:r w:rsidR="0049718D">
        <w:rPr>
          <w:rFonts w:cs="Arial"/>
          <w:sz w:val="22"/>
          <w:szCs w:val="22"/>
        </w:rPr>
        <w:t xml:space="preserve"> </w:t>
      </w:r>
      <w:r w:rsidR="0049718D" w:rsidRPr="00721349">
        <w:rPr>
          <w:rFonts w:cs="Arial"/>
          <w:sz w:val="22"/>
          <w:szCs w:val="22"/>
        </w:rPr>
        <w:t>broker for the last 38 years, my entire career in the</w:t>
      </w:r>
      <w:r w:rsidR="0049718D">
        <w:rPr>
          <w:rFonts w:cs="Arial"/>
          <w:sz w:val="22"/>
          <w:szCs w:val="22"/>
        </w:rPr>
        <w:t xml:space="preserve"> </w:t>
      </w:r>
      <w:r w:rsidR="0049718D" w:rsidRPr="00721349">
        <w:rPr>
          <w:rFonts w:cs="Arial"/>
          <w:sz w:val="22"/>
          <w:szCs w:val="22"/>
        </w:rPr>
        <w:t>industry.  During this time, I have witnessed the continual</w:t>
      </w:r>
      <w:r w:rsidR="0049718D">
        <w:rPr>
          <w:rFonts w:cs="Arial"/>
          <w:sz w:val="22"/>
          <w:szCs w:val="22"/>
        </w:rPr>
        <w:t xml:space="preserve"> </w:t>
      </w:r>
      <w:r w:rsidR="0049718D" w:rsidRPr="00721349">
        <w:rPr>
          <w:rFonts w:cs="Arial"/>
          <w:sz w:val="22"/>
          <w:szCs w:val="22"/>
        </w:rPr>
        <w:t>adaptation of the industry to</w:t>
      </w:r>
      <w:r w:rsidR="0049718D">
        <w:rPr>
          <w:rFonts w:cs="Arial"/>
          <w:sz w:val="22"/>
          <w:szCs w:val="22"/>
        </w:rPr>
        <w:t xml:space="preserve"> </w:t>
      </w:r>
      <w:r w:rsidR="0049718D" w:rsidRPr="00721349">
        <w:rPr>
          <w:rFonts w:cs="Arial"/>
          <w:sz w:val="22"/>
          <w:szCs w:val="22"/>
        </w:rPr>
        <w:t>the ever-evolving world and</w:t>
      </w:r>
      <w:r w:rsidR="0049718D">
        <w:rPr>
          <w:rFonts w:cs="Arial"/>
          <w:sz w:val="22"/>
          <w:szCs w:val="22"/>
        </w:rPr>
        <w:t xml:space="preserve"> </w:t>
      </w:r>
      <w:r w:rsidR="0049718D" w:rsidRPr="00721349">
        <w:rPr>
          <w:rFonts w:cs="Arial"/>
          <w:sz w:val="22"/>
          <w:szCs w:val="22"/>
        </w:rPr>
        <w:t>the emergence of alternative risks.</w:t>
      </w:r>
    </w:p>
    <w:p w:rsidR="0049718D" w:rsidRPr="00721349" w:rsidRDefault="0049718D" w:rsidP="0049718D">
      <w:pPr>
        <w:rPr>
          <w:rFonts w:cs="Arial"/>
          <w:sz w:val="22"/>
          <w:szCs w:val="22"/>
        </w:rPr>
      </w:pPr>
      <w:r w:rsidRPr="00721349">
        <w:rPr>
          <w:rFonts w:cs="Arial"/>
          <w:sz w:val="22"/>
          <w:szCs w:val="22"/>
        </w:rPr>
        <w:t>Lloyd’s, despite facing continued challenges, has remained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the pre-eminent centre of excellence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and marketplace for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specialty risk, both insurance and reinsurance, and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continues to attract capital, business and talent from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around the globe.</w:t>
      </w:r>
    </w:p>
    <w:p w:rsidR="0049718D" w:rsidRPr="00721349" w:rsidRDefault="0049718D" w:rsidP="0049718D">
      <w:pPr>
        <w:rPr>
          <w:rFonts w:cs="Arial"/>
          <w:sz w:val="22"/>
          <w:szCs w:val="22"/>
        </w:rPr>
      </w:pPr>
      <w:r w:rsidRPr="00721349">
        <w:rPr>
          <w:rFonts w:cs="Arial"/>
          <w:sz w:val="22"/>
          <w:szCs w:val="22"/>
        </w:rPr>
        <w:t>Critical to its success has been its ability to re-emerge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following R&amp;R to a position of strength by virtue of the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Performance Management Directorate, the ever-increasing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presence of diversified corporate capital, its rating and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global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licensing.</w:t>
      </w:r>
    </w:p>
    <w:p w:rsidR="0049718D" w:rsidRPr="00721349" w:rsidRDefault="0049718D" w:rsidP="0049718D">
      <w:pPr>
        <w:rPr>
          <w:rFonts w:cs="Arial"/>
          <w:sz w:val="22"/>
          <w:szCs w:val="22"/>
        </w:rPr>
      </w:pPr>
      <w:r w:rsidRPr="00721349">
        <w:rPr>
          <w:rFonts w:cs="Arial"/>
          <w:sz w:val="22"/>
          <w:szCs w:val="22"/>
        </w:rPr>
        <w:t>The market currently faces more pressing issues: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geopolitical instability, financial and economic instability,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new and emerging risk and ever-increasing disruptive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influences.  Therefore, it is imperative more than ever that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we continue to support the market through innovation,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adaption to advanced technology, digitisation and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automation and embrace change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rapidly.  The ability to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quote,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bind and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process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the most cost efficient manner,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to ensure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 xml:space="preserve">offering both full transparency and </w:t>
      </w:r>
      <w:r w:rsidRPr="00721349">
        <w:rPr>
          <w:rFonts w:cs="Arial"/>
          <w:sz w:val="22"/>
          <w:szCs w:val="22"/>
        </w:rPr>
        <w:t>continued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discipline,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will be critical to its continued success.</w:t>
      </w:r>
    </w:p>
    <w:p w:rsidR="0049718D" w:rsidRPr="00721349" w:rsidRDefault="0049718D" w:rsidP="0049718D">
      <w:pPr>
        <w:rPr>
          <w:rFonts w:cs="Arial"/>
          <w:sz w:val="22"/>
          <w:szCs w:val="22"/>
        </w:rPr>
      </w:pPr>
      <w:r w:rsidRPr="00721349">
        <w:rPr>
          <w:rFonts w:cs="Arial"/>
          <w:sz w:val="22"/>
          <w:szCs w:val="22"/>
        </w:rPr>
        <w:t>I would like to think, as the first female founder of a Lloyd’s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Broking House in 1992, that I have been an advocate of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encouraging D&amp;I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and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especially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ensuring we continue to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attract the best talent to our industry.  For example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through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initiatives like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the Young Professionals that I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created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at MMC and which has market-wide support.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have been fortunate to have held a number of Executive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positions during my career and now have the privilege of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being a member of the Executive Committee at Guy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Carpenter.  In my role, I have been instrumental in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educating and securing third party capital to Lloyd’s from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across all continents and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diversified business mix through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these strategic relationships.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Third party capital remains an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important constituent of Lloyd’s capital and encourages a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diverse and accretive business mix to the market.  It is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important that Lloyd’s remains attractive to all forms of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capital,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whether the traditional Names capital or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alternative forms of capital, such as ILS.I continue to be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fully involved in all aspects of reinsurance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placement, third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party capital, RI optimisations and the development of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InsurTech initiatives within our industry.</w:t>
      </w:r>
    </w:p>
    <w:p w:rsidR="0049718D" w:rsidRPr="00721349" w:rsidRDefault="0049718D" w:rsidP="0049718D">
      <w:pPr>
        <w:rPr>
          <w:rFonts w:cs="Arial"/>
          <w:sz w:val="22"/>
          <w:szCs w:val="22"/>
        </w:rPr>
      </w:pPr>
      <w:r w:rsidRPr="00721349">
        <w:rPr>
          <w:rFonts w:cs="Arial"/>
          <w:sz w:val="22"/>
          <w:szCs w:val="22"/>
        </w:rPr>
        <w:t>Having been fortunate to have enjoyed the most incredible38 years in the industry,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I feel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we now have an obligation to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preserve, protect and evolve the Lloyd’s franchise for the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next generation, through continued education, adaptation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to the emergence of new risk, state of the art analytics and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technology that will enable it to compete successfully in the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global market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and to ensure Lloyd’s remains both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competitive and relevant.</w:t>
      </w:r>
    </w:p>
    <w:p w:rsidR="005D26BB" w:rsidRPr="00367701" w:rsidRDefault="0049718D" w:rsidP="005D3768">
      <w:pPr>
        <w:rPr>
          <w:rFonts w:cs="Arial"/>
          <w:sz w:val="22"/>
          <w:szCs w:val="22"/>
        </w:rPr>
      </w:pPr>
      <w:r w:rsidRPr="00721349">
        <w:rPr>
          <w:rFonts w:cs="Arial"/>
          <w:sz w:val="22"/>
          <w:szCs w:val="22"/>
        </w:rPr>
        <w:t>I very much hope through election to Council I can play my</w:t>
      </w:r>
      <w:r>
        <w:rPr>
          <w:rFonts w:cs="Arial"/>
          <w:sz w:val="22"/>
          <w:szCs w:val="22"/>
        </w:rPr>
        <w:t xml:space="preserve"> </w:t>
      </w:r>
      <w:r w:rsidRPr="00721349">
        <w:rPr>
          <w:rFonts w:cs="Arial"/>
          <w:sz w:val="22"/>
          <w:szCs w:val="22"/>
        </w:rPr>
        <w:t>part in ensuring its future success.</w:t>
      </w:r>
      <w:r w:rsidR="00691A3A">
        <w:rPr>
          <w:rFonts w:cs="Arial"/>
          <w:sz w:val="22"/>
          <w:szCs w:val="22"/>
        </w:rPr>
        <w:t xml:space="preserve"> </w:t>
      </w:r>
    </w:p>
    <w:sectPr w:rsidR="005D26BB" w:rsidRPr="00367701" w:rsidSect="00C70FDF">
      <w:headerReference w:type="default" r:id="rId8"/>
      <w:footerReference w:type="default" r:id="rId9"/>
      <w:pgSz w:w="11907" w:h="16840" w:code="9"/>
      <w:pgMar w:top="1440" w:right="992" w:bottom="1440" w:left="1440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19" w:rsidRDefault="00554219" w:rsidP="00554219">
      <w:pPr>
        <w:spacing w:after="0" w:line="240" w:lineRule="auto"/>
      </w:pPr>
      <w:r>
        <w:separator/>
      </w:r>
    </w:p>
  </w:endnote>
  <w:endnote w:type="continuationSeparator" w:id="0">
    <w:p w:rsidR="00554219" w:rsidRDefault="00554219" w:rsidP="0055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19" w:rsidRDefault="005542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eb0c455ba878a3ad548ad6d6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4219" w:rsidRPr="00554219" w:rsidRDefault="00554219" w:rsidP="0055421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421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b0c455ba878a3ad548ad6d6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Lo2kqQZAwAANg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554219" w:rsidRPr="00554219" w:rsidRDefault="00554219" w:rsidP="0055421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421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19" w:rsidRDefault="00554219" w:rsidP="00554219">
      <w:pPr>
        <w:spacing w:after="0" w:line="240" w:lineRule="auto"/>
      </w:pPr>
      <w:r>
        <w:separator/>
      </w:r>
    </w:p>
  </w:footnote>
  <w:footnote w:type="continuationSeparator" w:id="0">
    <w:p w:rsidR="00554219" w:rsidRDefault="00554219" w:rsidP="0055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DF" w:rsidRDefault="00C70FDF">
    <w:pPr>
      <w:pStyle w:val="Header"/>
    </w:pPr>
    <w:r>
      <w:rPr>
        <w:b/>
        <w:noProof/>
        <w:color w:val="1E35BF"/>
        <w:sz w:val="24"/>
        <w:szCs w:val="24"/>
      </w:rPr>
      <w:drawing>
        <wp:anchor distT="0" distB="0" distL="114300" distR="114300" simplePos="0" relativeHeight="251661312" behindDoc="0" locked="0" layoutInCell="1" allowOverlap="1" wp14:anchorId="638FFCBF" wp14:editId="25E00E85">
          <wp:simplePos x="0" y="0"/>
          <wp:positionH relativeFrom="page">
            <wp:posOffset>858520</wp:posOffset>
          </wp:positionH>
          <wp:positionV relativeFrom="paragraph">
            <wp:posOffset>-340079</wp:posOffset>
          </wp:positionV>
          <wp:extent cx="1058545" cy="424815"/>
          <wp:effectExtent l="0" t="0" r="8255" b="0"/>
          <wp:wrapSquare wrapText="bothSides"/>
          <wp:docPr id="12" name="Picture 1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OYDS LOGO - Black Box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"/>
  </w:num>
  <w:num w:numId="15">
    <w:abstractNumId w:val="0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BB"/>
    <w:rsid w:val="001301F6"/>
    <w:rsid w:val="00367701"/>
    <w:rsid w:val="0049718D"/>
    <w:rsid w:val="0052251B"/>
    <w:rsid w:val="00554219"/>
    <w:rsid w:val="005D26BB"/>
    <w:rsid w:val="005D3768"/>
    <w:rsid w:val="005F3EB8"/>
    <w:rsid w:val="00691A3A"/>
    <w:rsid w:val="006D5A56"/>
    <w:rsid w:val="007B2B0A"/>
    <w:rsid w:val="007D45D8"/>
    <w:rsid w:val="008334BB"/>
    <w:rsid w:val="008C56FE"/>
    <w:rsid w:val="00902D48"/>
    <w:rsid w:val="0091465A"/>
    <w:rsid w:val="00A51257"/>
    <w:rsid w:val="00C70FDF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F2559D"/>
  <w15:chartTrackingRefBased/>
  <w15:docId w15:val="{16BE8474-ECBE-486C-8FF3-1E1CD75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6BB"/>
    <w:pPr>
      <w:tabs>
        <w:tab w:val="right" w:pos="9582"/>
      </w:tabs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uiPriority w:val="59"/>
    <w:unhideWhenUsed/>
    <w:rsid w:val="005D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219"/>
    <w:pPr>
      <w:tabs>
        <w:tab w:val="clear" w:pos="9582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19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54219"/>
    <w:pPr>
      <w:tabs>
        <w:tab w:val="clear" w:pos="9582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1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8149BFC1</Template>
  <TotalTime>0</TotalTime>
  <Pages>1</Pages>
  <Words>472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O’Dowd, Gemma</dc:creator>
  <cp:keywords/>
  <dc:description/>
  <cp:lastModifiedBy>Walkling, Charlotte</cp:lastModifiedBy>
  <cp:revision>2</cp:revision>
  <dcterms:created xsi:type="dcterms:W3CDTF">2019-01-17T14:21:00Z</dcterms:created>
  <dcterms:modified xsi:type="dcterms:W3CDTF">2019-01-17T14:21:00Z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ODowdG@lloyds.com</vt:lpwstr>
  </property>
  <property fmtid="{D5CDD505-2E9C-101B-9397-08002B2CF9AE}" pid="5" name="MSIP_Label_b3b4ac1b-ad46-41e5-bbef-cfcc59b99d32_SetDate">
    <vt:lpwstr>2019-01-11T10:17:25.4948759Z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Extended_MSFT_Method">
    <vt:lpwstr>Automatic</vt:lpwstr>
  </property>
  <property fmtid="{D5CDD505-2E9C-101B-9397-08002B2CF9AE}" pid="9" name="Sensitivity">
    <vt:lpwstr>Confidential</vt:lpwstr>
  </property>
</Properties>
</file>