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3699B" w14:textId="77777777" w:rsidR="00603593" w:rsidRDefault="007741DA">
      <w:pPr>
        <w:autoSpaceDE w:val="0"/>
        <w:autoSpaceDN w:val="0"/>
        <w:adjustRightInd w:val="0"/>
        <w:spacing w:line="240" w:lineRule="auto"/>
        <w:rPr>
          <w:rFonts w:ascii="ArialMT" w:hAnsi="ArialMT"/>
          <w:sz w:val="20"/>
        </w:rPr>
      </w:pPr>
      <w:bookmarkStart w:id="0" w:name="_GoBack"/>
      <w:bookmarkEnd w:id="0"/>
      <w:r w:rsidRPr="00E62A1B">
        <w:rPr>
          <w:b/>
          <w:lang w:eastAsia="en-GB"/>
        </w:rPr>
        <w:t>930 Independent review report</w:t>
      </w:r>
    </w:p>
    <w:p w14:paraId="7627534B" w14:textId="77777777" w:rsidR="007741DA" w:rsidRDefault="007741DA" w:rsidP="007741DA">
      <w:pPr>
        <w:jc w:val="both"/>
        <w:rPr>
          <w:b/>
          <w:lang w:eastAsia="en-GB"/>
        </w:rPr>
      </w:pPr>
    </w:p>
    <w:p w14:paraId="5DB36B57" w14:textId="77777777" w:rsidR="00603593" w:rsidRPr="007F7519" w:rsidRDefault="00AA7159">
      <w:pPr>
        <w:pStyle w:val="BodyText"/>
        <w:jc w:val="both"/>
        <w:rPr>
          <w:b/>
          <w:i/>
          <w:sz w:val="20"/>
        </w:rPr>
      </w:pPr>
      <w:r w:rsidRPr="00AA7159">
        <w:rPr>
          <w:rFonts w:ascii="Arial" w:hAnsi="Arial"/>
          <w:b/>
          <w:i/>
          <w:sz w:val="20"/>
        </w:rPr>
        <w:t>Independent review report to the directors of the managing agent and to the Council of Lloyd’s</w:t>
      </w:r>
    </w:p>
    <w:p w14:paraId="4729D5A0" w14:textId="77777777" w:rsidR="007741DA" w:rsidRDefault="007741DA" w:rsidP="007741DA">
      <w:pPr>
        <w:pStyle w:val="BodyText"/>
        <w:jc w:val="both"/>
        <w:rPr>
          <w:rFonts w:ascii="Arial" w:hAnsi="Arial" w:cs="Arial"/>
          <w:b/>
          <w:sz w:val="20"/>
          <w:lang w:eastAsia="en-GB"/>
        </w:rPr>
      </w:pPr>
    </w:p>
    <w:p w14:paraId="2AF53FFB" w14:textId="77777777" w:rsidR="007741DA" w:rsidRPr="0027792F" w:rsidRDefault="007741DA" w:rsidP="007741DA">
      <w:pPr>
        <w:pStyle w:val="BodyText"/>
        <w:jc w:val="both"/>
        <w:rPr>
          <w:rFonts w:ascii="Arial" w:hAnsi="Arial" w:cs="Arial"/>
          <w:b/>
          <w:sz w:val="20"/>
          <w:lang w:eastAsia="en-GB"/>
        </w:rPr>
      </w:pPr>
      <w:r w:rsidRPr="0027792F">
        <w:rPr>
          <w:rFonts w:ascii="Arial" w:hAnsi="Arial" w:cs="Arial"/>
          <w:b/>
          <w:sz w:val="20"/>
          <w:lang w:eastAsia="en-GB"/>
        </w:rPr>
        <w:t xml:space="preserve">Syndicate No: </w:t>
      </w:r>
      <w:r w:rsidRPr="0027792F">
        <w:rPr>
          <w:rFonts w:ascii="Arial" w:hAnsi="Arial" w:cs="Arial"/>
          <w:b/>
          <w:sz w:val="20"/>
          <w:lang w:eastAsia="en-GB"/>
        </w:rPr>
        <w:tab/>
        <w:t>___________________</w:t>
      </w:r>
    </w:p>
    <w:p w14:paraId="1DA44665" w14:textId="77777777" w:rsidR="007741DA" w:rsidRPr="0027792F" w:rsidRDefault="007741DA" w:rsidP="007741DA">
      <w:pPr>
        <w:pStyle w:val="BodyText"/>
        <w:jc w:val="both"/>
        <w:rPr>
          <w:rFonts w:ascii="Arial" w:hAnsi="Arial" w:cs="Arial"/>
          <w:b/>
          <w:sz w:val="20"/>
          <w:lang w:eastAsia="en-GB"/>
        </w:rPr>
      </w:pPr>
    </w:p>
    <w:p w14:paraId="422D4BBC" w14:textId="77777777" w:rsidR="00603593" w:rsidRPr="007F7519" w:rsidRDefault="00AA7159">
      <w:pPr>
        <w:pStyle w:val="BodyText"/>
        <w:jc w:val="both"/>
        <w:rPr>
          <w:b/>
          <w:sz w:val="20"/>
        </w:rPr>
      </w:pPr>
      <w:r w:rsidRPr="00AA7159">
        <w:rPr>
          <w:rFonts w:ascii="Arial" w:hAnsi="Arial"/>
          <w:b/>
          <w:sz w:val="20"/>
        </w:rPr>
        <w:t xml:space="preserve">Managing Agent: </w:t>
      </w:r>
      <w:r w:rsidR="007741DA">
        <w:rPr>
          <w:rFonts w:ascii="Arial" w:hAnsi="Arial" w:cs="Arial"/>
          <w:b/>
          <w:sz w:val="20"/>
          <w:lang w:eastAsia="en-GB"/>
        </w:rPr>
        <w:t xml:space="preserve"> </w:t>
      </w:r>
      <w:r w:rsidR="007741DA" w:rsidRPr="0027792F">
        <w:rPr>
          <w:rFonts w:ascii="Arial" w:hAnsi="Arial" w:cs="Arial"/>
          <w:b/>
          <w:sz w:val="20"/>
          <w:lang w:eastAsia="en-GB"/>
        </w:rPr>
        <w:t>_____________________________________</w:t>
      </w:r>
    </w:p>
    <w:p w14:paraId="5EBF4A3B" w14:textId="77777777" w:rsidR="00603593" w:rsidRPr="007F7519" w:rsidRDefault="00603593">
      <w:pPr>
        <w:pStyle w:val="BodyText"/>
        <w:jc w:val="both"/>
        <w:rPr>
          <w:b/>
          <w:sz w:val="20"/>
        </w:rPr>
      </w:pPr>
    </w:p>
    <w:p w14:paraId="6B8F9897" w14:textId="1A6FA11B" w:rsidR="00603593" w:rsidRPr="007F7519" w:rsidRDefault="00AA7159">
      <w:pPr>
        <w:pStyle w:val="BodyText"/>
        <w:spacing w:after="10" w:line="280" w:lineRule="atLeast"/>
        <w:jc w:val="both"/>
        <w:rPr>
          <w:sz w:val="20"/>
        </w:rPr>
      </w:pPr>
      <w:r w:rsidRPr="00AA7159">
        <w:rPr>
          <w:rFonts w:ascii="Arial" w:hAnsi="Arial"/>
          <w:sz w:val="20"/>
        </w:rPr>
        <w:t xml:space="preserve">We have been engaged by the Managing Agent to review the </w:t>
      </w:r>
      <w:r w:rsidR="00D257B9">
        <w:rPr>
          <w:rFonts w:ascii="Arial" w:hAnsi="Arial" w:cs="Arial"/>
          <w:sz w:val="20"/>
          <w:lang w:eastAsia="en-GB"/>
        </w:rPr>
        <w:t>Solvency II Balance Sheet</w:t>
      </w:r>
      <w:r w:rsidRPr="00AA7159">
        <w:rPr>
          <w:rFonts w:ascii="Arial" w:hAnsi="Arial"/>
          <w:sz w:val="20"/>
        </w:rPr>
        <w:t xml:space="preserve">, as </w:t>
      </w:r>
      <w:r w:rsidR="00371663">
        <w:rPr>
          <w:rFonts w:ascii="Arial" w:hAnsi="Arial"/>
          <w:sz w:val="20"/>
        </w:rPr>
        <w:t xml:space="preserve">required by </w:t>
      </w:r>
      <w:r w:rsidRPr="00AA7159">
        <w:rPr>
          <w:rFonts w:ascii="Arial" w:hAnsi="Arial"/>
          <w:sz w:val="20"/>
        </w:rPr>
        <w:t xml:space="preserve">the </w:t>
      </w:r>
      <w:r w:rsidR="00D17A02">
        <w:rPr>
          <w:rFonts w:ascii="Arial" w:hAnsi="Arial" w:cs="Arial"/>
          <w:sz w:val="20"/>
          <w:lang w:eastAsia="en-GB"/>
        </w:rPr>
        <w:t>“</w:t>
      </w:r>
      <w:r w:rsidR="00D17A02" w:rsidRPr="00565D0B">
        <w:rPr>
          <w:rFonts w:ascii="Arial" w:hAnsi="Arial" w:cs="Arial"/>
          <w:sz w:val="20"/>
        </w:rPr>
        <w:t>Solvency II Balance Sheet Submission</w:t>
      </w:r>
      <w:r w:rsidR="00D17A02">
        <w:rPr>
          <w:rFonts w:ascii="Arial" w:hAnsi="Arial" w:cs="Arial"/>
          <w:sz w:val="20"/>
        </w:rPr>
        <w:t>”</w:t>
      </w:r>
      <w:r w:rsidRPr="00AA7159">
        <w:rPr>
          <w:rFonts w:ascii="Arial" w:hAnsi="Arial"/>
          <w:sz w:val="20"/>
        </w:rPr>
        <w:t xml:space="preserve"> instructions </w:t>
      </w:r>
      <w:r w:rsidR="00D17A02" w:rsidRPr="00565D0B">
        <w:rPr>
          <w:rFonts w:ascii="Arial" w:hAnsi="Arial" w:cs="Arial"/>
          <w:sz w:val="20"/>
        </w:rPr>
        <w:t>issued</w:t>
      </w:r>
      <w:r w:rsidRPr="00AA7159">
        <w:rPr>
          <w:rFonts w:ascii="Arial" w:hAnsi="Arial"/>
          <w:sz w:val="20"/>
        </w:rPr>
        <w:t xml:space="preserve"> by Lloyd’s </w:t>
      </w:r>
      <w:r w:rsidR="00D17A02" w:rsidRPr="00565D0B">
        <w:rPr>
          <w:rFonts w:ascii="Arial" w:hAnsi="Arial" w:cs="Arial"/>
          <w:sz w:val="20"/>
        </w:rPr>
        <w:t>on 29 February 2012</w:t>
      </w:r>
      <w:r w:rsidRPr="00AA7159">
        <w:rPr>
          <w:rFonts w:ascii="Arial" w:hAnsi="Arial"/>
          <w:sz w:val="20"/>
        </w:rPr>
        <w:t xml:space="preserve"> (“the Instructions”), </w:t>
      </w:r>
      <w:r w:rsidR="00550D80">
        <w:rPr>
          <w:rFonts w:ascii="Arial" w:hAnsi="Arial" w:cs="Arial"/>
          <w:sz w:val="20"/>
          <w:lang w:eastAsia="en-GB"/>
        </w:rPr>
        <w:t>as at 30 June 2012 for</w:t>
      </w:r>
      <w:r w:rsidRPr="00AA7159">
        <w:rPr>
          <w:rFonts w:ascii="Arial" w:hAnsi="Arial"/>
          <w:sz w:val="20"/>
        </w:rPr>
        <w:t xml:space="preserve"> the above syndicate, which has been prepared by the Managing Agent pursuant to the requirements set out in the Instructions.</w:t>
      </w:r>
    </w:p>
    <w:p w14:paraId="7EDDCCEA" w14:textId="77777777" w:rsidR="00603593" w:rsidRPr="007F7519" w:rsidRDefault="00603593">
      <w:pPr>
        <w:pStyle w:val="BodyText"/>
        <w:spacing w:after="10" w:line="280" w:lineRule="atLeast"/>
        <w:jc w:val="both"/>
        <w:rPr>
          <w:sz w:val="20"/>
        </w:rPr>
      </w:pPr>
    </w:p>
    <w:p w14:paraId="1E0B3B26" w14:textId="77777777" w:rsidR="00603593" w:rsidRPr="007F7519" w:rsidRDefault="00AA7159">
      <w:pPr>
        <w:pStyle w:val="BodyText"/>
        <w:spacing w:after="10" w:line="280" w:lineRule="atLeast"/>
        <w:jc w:val="both"/>
        <w:rPr>
          <w:sz w:val="20"/>
        </w:rPr>
      </w:pPr>
      <w:r w:rsidRPr="00AA7159">
        <w:rPr>
          <w:rFonts w:ascii="Arial" w:hAnsi="Arial"/>
          <w:sz w:val="20"/>
        </w:rPr>
        <w:t>This report is made solely to the addressees in accordance with guidance contained in International Standard on Review Engagements (UK and Ireland) 2410, "Review of Interim Financial Information Performed by the Independent Auditor of the Entity" issued by the Auditing Practices Board. To the fullest extent permitted by law, we do not accept or assume any responsibility to anyone other than the addressees of this report, for our work, for this report, or for the conclusions we have formed.</w:t>
      </w:r>
    </w:p>
    <w:p w14:paraId="2FE8EA50" w14:textId="77777777" w:rsidR="00603593" w:rsidRDefault="007741DA">
      <w:pPr>
        <w:pStyle w:val="Heading2"/>
        <w:numPr>
          <w:ilvl w:val="0"/>
          <w:numId w:val="0"/>
        </w:numPr>
        <w:jc w:val="both"/>
        <w:rPr>
          <w:rFonts w:cs="Arial"/>
          <w:b/>
          <w:sz w:val="20"/>
          <w:lang w:eastAsia="en-GB"/>
        </w:rPr>
      </w:pPr>
      <w:r w:rsidRPr="00E62A1B">
        <w:rPr>
          <w:rFonts w:cs="Arial"/>
          <w:b/>
          <w:sz w:val="20"/>
          <w:lang w:eastAsia="en-GB"/>
        </w:rPr>
        <w:t>Responsibilities of the Managing Agent</w:t>
      </w:r>
    </w:p>
    <w:p w14:paraId="1571B9CF" w14:textId="77777777" w:rsidR="007741DA" w:rsidRPr="00E62A1B" w:rsidRDefault="007741DA" w:rsidP="007741DA">
      <w:pPr>
        <w:pStyle w:val="BodyText"/>
        <w:jc w:val="both"/>
        <w:rPr>
          <w:rFonts w:ascii="Arial" w:hAnsi="Arial" w:cs="Arial"/>
          <w:sz w:val="20"/>
          <w:lang w:eastAsia="en-GB"/>
        </w:rPr>
      </w:pPr>
    </w:p>
    <w:p w14:paraId="46F1FD43" w14:textId="478445E0" w:rsidR="00603593" w:rsidRPr="007F7519" w:rsidRDefault="00AA7159">
      <w:pPr>
        <w:pStyle w:val="BodyText"/>
        <w:spacing w:line="280" w:lineRule="atLeast"/>
        <w:jc w:val="both"/>
        <w:rPr>
          <w:sz w:val="20"/>
        </w:rPr>
      </w:pPr>
      <w:r w:rsidRPr="00AA7159">
        <w:rPr>
          <w:rFonts w:ascii="Arial" w:hAnsi="Arial"/>
          <w:sz w:val="20"/>
        </w:rPr>
        <w:t xml:space="preserve">The </w:t>
      </w:r>
      <w:r w:rsidR="00D257B9">
        <w:rPr>
          <w:rFonts w:ascii="Arial" w:hAnsi="Arial" w:cs="Arial"/>
          <w:sz w:val="20"/>
          <w:lang w:eastAsia="en-GB"/>
        </w:rPr>
        <w:t>Solvency II Balance Sheet</w:t>
      </w:r>
      <w:r w:rsidRPr="00AA7159">
        <w:rPr>
          <w:rFonts w:ascii="Arial" w:hAnsi="Arial"/>
          <w:sz w:val="20"/>
        </w:rPr>
        <w:t xml:space="preserve"> is the responsibility of, and has been approved by, the directors of the Managing Agent. The directors of the Managing Agent are responsible for preparing the </w:t>
      </w:r>
      <w:r w:rsidR="00D257B9">
        <w:rPr>
          <w:rFonts w:ascii="Arial" w:hAnsi="Arial" w:cs="Arial"/>
          <w:sz w:val="20"/>
          <w:lang w:eastAsia="en-GB"/>
        </w:rPr>
        <w:t>Solvency II Balance Sheet</w:t>
      </w:r>
      <w:r w:rsidRPr="00AA7159">
        <w:rPr>
          <w:rFonts w:ascii="Arial" w:hAnsi="Arial"/>
          <w:sz w:val="20"/>
        </w:rPr>
        <w:t xml:space="preserve"> in accordance with the Instructions </w:t>
      </w:r>
      <w:r w:rsidR="00976111">
        <w:rPr>
          <w:rFonts w:ascii="Arial" w:hAnsi="Arial" w:cs="Arial"/>
          <w:sz w:val="20"/>
          <w:lang w:eastAsia="en-GB"/>
        </w:rPr>
        <w:t xml:space="preserve">issued </w:t>
      </w:r>
      <w:r w:rsidR="00D257B9">
        <w:rPr>
          <w:rFonts w:ascii="Arial" w:hAnsi="Arial" w:cs="Arial"/>
          <w:sz w:val="20"/>
          <w:lang w:eastAsia="en-GB"/>
        </w:rPr>
        <w:t>by Lloyd’s</w:t>
      </w:r>
      <w:r w:rsidRPr="00AA7159">
        <w:rPr>
          <w:rFonts w:ascii="Arial" w:hAnsi="Arial"/>
          <w:sz w:val="20"/>
        </w:rPr>
        <w:t>.</w:t>
      </w:r>
    </w:p>
    <w:p w14:paraId="4C8DBC9F" w14:textId="77777777" w:rsidR="00603593" w:rsidRDefault="007741DA">
      <w:pPr>
        <w:pStyle w:val="Heading2"/>
        <w:numPr>
          <w:ilvl w:val="0"/>
          <w:numId w:val="0"/>
        </w:numPr>
        <w:jc w:val="both"/>
        <w:rPr>
          <w:rFonts w:cs="Arial"/>
          <w:b/>
          <w:sz w:val="20"/>
          <w:lang w:eastAsia="en-GB"/>
        </w:rPr>
      </w:pPr>
      <w:r w:rsidRPr="00E62A1B">
        <w:rPr>
          <w:rFonts w:cs="Arial"/>
          <w:b/>
          <w:sz w:val="20"/>
          <w:lang w:eastAsia="en-GB"/>
        </w:rPr>
        <w:t>Our responsibility</w:t>
      </w:r>
    </w:p>
    <w:p w14:paraId="7489EBF6" w14:textId="77777777" w:rsidR="007741DA" w:rsidRPr="00E62A1B" w:rsidRDefault="007741DA" w:rsidP="007741DA">
      <w:pPr>
        <w:pStyle w:val="BodyText"/>
        <w:jc w:val="both"/>
        <w:rPr>
          <w:rFonts w:ascii="Arial" w:hAnsi="Arial" w:cs="Arial"/>
          <w:sz w:val="20"/>
          <w:lang w:eastAsia="en-GB"/>
        </w:rPr>
      </w:pPr>
    </w:p>
    <w:p w14:paraId="6A2E3227" w14:textId="77777777" w:rsidR="00603593" w:rsidRPr="007F7519" w:rsidRDefault="00AA7159">
      <w:pPr>
        <w:pStyle w:val="BodyText"/>
        <w:spacing w:line="280" w:lineRule="atLeast"/>
        <w:jc w:val="both"/>
        <w:rPr>
          <w:sz w:val="20"/>
        </w:rPr>
      </w:pPr>
      <w:r w:rsidRPr="00AA7159">
        <w:rPr>
          <w:rFonts w:ascii="Arial" w:hAnsi="Arial"/>
          <w:sz w:val="20"/>
        </w:rPr>
        <w:t xml:space="preserve">Our responsibility is to express to the directors of the Managing Agent and to the Council of Lloyd’s a conclusion on the </w:t>
      </w:r>
      <w:r w:rsidR="00D257B9">
        <w:rPr>
          <w:rFonts w:ascii="Arial" w:hAnsi="Arial" w:cs="Arial"/>
          <w:sz w:val="20"/>
          <w:lang w:eastAsia="en-GB"/>
        </w:rPr>
        <w:t>Solvency II Balance Sheet</w:t>
      </w:r>
      <w:r w:rsidRPr="00AA7159">
        <w:rPr>
          <w:rFonts w:ascii="Arial" w:hAnsi="Arial"/>
          <w:sz w:val="20"/>
        </w:rPr>
        <w:t xml:space="preserve"> based on our review.</w:t>
      </w:r>
      <w:r w:rsidR="007741DA" w:rsidRPr="00E62A1B">
        <w:rPr>
          <w:rFonts w:ascii="Arial" w:hAnsi="Arial" w:cs="Arial"/>
          <w:sz w:val="20"/>
          <w:lang w:eastAsia="en-GB"/>
        </w:rPr>
        <w:t xml:space="preserve"> </w:t>
      </w:r>
    </w:p>
    <w:p w14:paraId="0946F0B1" w14:textId="77777777" w:rsidR="00603593" w:rsidRDefault="007741DA">
      <w:pPr>
        <w:pStyle w:val="Heading2"/>
        <w:numPr>
          <w:ilvl w:val="0"/>
          <w:numId w:val="0"/>
        </w:numPr>
        <w:jc w:val="both"/>
        <w:rPr>
          <w:rFonts w:cs="Arial"/>
          <w:b/>
          <w:sz w:val="20"/>
          <w:lang w:eastAsia="en-GB"/>
        </w:rPr>
      </w:pPr>
      <w:r w:rsidRPr="00E62A1B">
        <w:rPr>
          <w:rFonts w:cs="Arial"/>
          <w:b/>
          <w:sz w:val="20"/>
          <w:lang w:eastAsia="en-GB"/>
        </w:rPr>
        <w:t>Scope of review</w:t>
      </w:r>
    </w:p>
    <w:p w14:paraId="018C66B5" w14:textId="77777777" w:rsidR="007741DA" w:rsidRPr="002D3041" w:rsidRDefault="007741DA" w:rsidP="007741DA">
      <w:pPr>
        <w:pStyle w:val="BodyText"/>
        <w:jc w:val="both"/>
        <w:rPr>
          <w:rFonts w:ascii="Arial" w:hAnsi="Arial" w:cs="Arial"/>
          <w:sz w:val="20"/>
          <w:lang w:eastAsia="en-GB"/>
        </w:rPr>
      </w:pPr>
    </w:p>
    <w:p w14:paraId="024CEE45" w14:textId="27D5B932" w:rsidR="00362BBC" w:rsidRPr="00447552" w:rsidRDefault="007741DA" w:rsidP="00447552">
      <w:pPr>
        <w:rPr>
          <w:snapToGrid w:val="0"/>
          <w:sz w:val="20"/>
          <w:lang w:eastAsia="en-GB"/>
        </w:rPr>
      </w:pPr>
      <w:r w:rsidRPr="00447552">
        <w:rPr>
          <w:snapToGrid w:val="0"/>
          <w:sz w:val="20"/>
          <w:lang w:eastAsia="en-GB"/>
        </w:rPr>
        <w:t>We conducted our review in accordance with International Standard on Review Engagements (UK and Ireland) 2410, "Review of Interim Financial Information Performed by the Independent Auditor of the Entity" issued by the Auditing Practices Board for use in the United Kingdom.  A review of interim financial information consists of making enquiries,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w:t>
      </w:r>
      <w:r w:rsidR="00976111">
        <w:rPr>
          <w:snapToGrid w:val="0"/>
          <w:sz w:val="20"/>
          <w:lang w:eastAsia="en-GB"/>
        </w:rPr>
        <w:t xml:space="preserve">e that we would become aware of </w:t>
      </w:r>
      <w:r w:rsidRPr="00447552">
        <w:rPr>
          <w:snapToGrid w:val="0"/>
          <w:sz w:val="20"/>
          <w:lang w:eastAsia="en-GB"/>
        </w:rPr>
        <w:t>all significant matters that might be identified in an audit. Accordingly, we do not express an audit opinion.</w:t>
      </w:r>
      <w:r w:rsidR="00976111">
        <w:rPr>
          <w:snapToGrid w:val="0"/>
          <w:sz w:val="20"/>
          <w:lang w:eastAsia="en-GB"/>
        </w:rPr>
        <w:t xml:space="preserve"> Furth</w:t>
      </w:r>
      <w:r w:rsidR="000E5496">
        <w:rPr>
          <w:snapToGrid w:val="0"/>
          <w:sz w:val="20"/>
          <w:lang w:eastAsia="en-GB"/>
        </w:rPr>
        <w:t>ermore, in accordance with the I</w:t>
      </w:r>
      <w:r w:rsidR="00976111">
        <w:rPr>
          <w:snapToGrid w:val="0"/>
          <w:sz w:val="20"/>
          <w:lang w:eastAsia="en-GB"/>
        </w:rPr>
        <w:t>nstructions, we have not reviewed the calculation of the Solvency Capital Requirement (SCR), which is used to derive the risk margins.</w:t>
      </w:r>
      <w:r w:rsidR="00AA7159" w:rsidRPr="00AA7159">
        <w:rPr>
          <w:sz w:val="20"/>
        </w:rPr>
        <w:t xml:space="preserve"> </w:t>
      </w:r>
    </w:p>
    <w:p w14:paraId="5C5D8F9A" w14:textId="77777777" w:rsidR="00362BBC" w:rsidRDefault="00362BBC" w:rsidP="007741DA">
      <w:pPr>
        <w:pStyle w:val="Heading2"/>
        <w:numPr>
          <w:ilvl w:val="0"/>
          <w:numId w:val="0"/>
        </w:numPr>
        <w:spacing w:before="0"/>
        <w:jc w:val="both"/>
        <w:rPr>
          <w:rFonts w:cs="Arial"/>
          <w:snapToGrid w:val="0"/>
          <w:color w:val="000000"/>
          <w:sz w:val="20"/>
          <w:lang w:eastAsia="en-GB"/>
        </w:rPr>
      </w:pPr>
    </w:p>
    <w:p w14:paraId="0C5AF7AD" w14:textId="0D969488" w:rsidR="007741DA" w:rsidRDefault="007741DA" w:rsidP="00447552">
      <w:pPr>
        <w:rPr>
          <w:b/>
          <w:lang w:eastAsia="en-GB"/>
        </w:rPr>
      </w:pPr>
      <w:r w:rsidRPr="00E62A1B">
        <w:rPr>
          <w:b/>
          <w:lang w:eastAsia="en-GB"/>
        </w:rPr>
        <w:t>Conclusion</w:t>
      </w:r>
    </w:p>
    <w:p w14:paraId="18DC6238" w14:textId="77777777" w:rsidR="007741DA" w:rsidRPr="00E62A1B" w:rsidRDefault="007741DA" w:rsidP="007741DA">
      <w:pPr>
        <w:pStyle w:val="BodyText"/>
        <w:jc w:val="both"/>
        <w:rPr>
          <w:rFonts w:ascii="Arial" w:hAnsi="Arial" w:cs="Arial"/>
          <w:sz w:val="20"/>
          <w:lang w:eastAsia="en-GB"/>
        </w:rPr>
      </w:pPr>
    </w:p>
    <w:p w14:paraId="59B0C4ED" w14:textId="77777777" w:rsidR="00603593" w:rsidRDefault="007741DA">
      <w:pPr>
        <w:jc w:val="both"/>
        <w:rPr>
          <w:sz w:val="20"/>
        </w:rPr>
      </w:pPr>
      <w:r>
        <w:rPr>
          <w:sz w:val="20"/>
        </w:rPr>
        <w:t>Based on</w:t>
      </w:r>
      <w:r w:rsidRPr="00C142CF">
        <w:rPr>
          <w:sz w:val="20"/>
        </w:rPr>
        <w:t xml:space="preserve"> our review</w:t>
      </w:r>
      <w:r>
        <w:rPr>
          <w:sz w:val="20"/>
        </w:rPr>
        <w:t>,</w:t>
      </w:r>
      <w:r w:rsidRPr="00C142CF">
        <w:rPr>
          <w:sz w:val="20"/>
        </w:rPr>
        <w:t xml:space="preserve"> </w:t>
      </w:r>
      <w:r>
        <w:rPr>
          <w:sz w:val="20"/>
        </w:rPr>
        <w:t>nothing has come to our attention that causes us to believe that:</w:t>
      </w:r>
    </w:p>
    <w:p w14:paraId="6D7F95FB" w14:textId="77777777" w:rsidR="007741DA" w:rsidRPr="00C142CF" w:rsidRDefault="007741DA" w:rsidP="007741DA">
      <w:pPr>
        <w:rPr>
          <w:sz w:val="20"/>
        </w:rPr>
      </w:pPr>
    </w:p>
    <w:p w14:paraId="52A9AEE0" w14:textId="77777777" w:rsidR="00603593" w:rsidRDefault="007741DA">
      <w:pPr>
        <w:ind w:left="720" w:hanging="720"/>
        <w:jc w:val="both"/>
        <w:rPr>
          <w:sz w:val="20"/>
        </w:rPr>
      </w:pPr>
      <w:r w:rsidRPr="00C142CF">
        <w:rPr>
          <w:sz w:val="20"/>
        </w:rPr>
        <w:t>(i)</w:t>
      </w:r>
      <w:r>
        <w:rPr>
          <w:sz w:val="20"/>
        </w:rPr>
        <w:tab/>
      </w:r>
      <w:r w:rsidRPr="00C142CF">
        <w:rPr>
          <w:sz w:val="20"/>
        </w:rPr>
        <w:t xml:space="preserve">the </w:t>
      </w:r>
      <w:r w:rsidR="00483448">
        <w:rPr>
          <w:sz w:val="20"/>
        </w:rPr>
        <w:t xml:space="preserve">Solvency II Balance Sheet </w:t>
      </w:r>
      <w:r w:rsidRPr="00C142CF">
        <w:rPr>
          <w:sz w:val="20"/>
        </w:rPr>
        <w:t>has not been prepared</w:t>
      </w:r>
      <w:r>
        <w:rPr>
          <w:sz w:val="20"/>
        </w:rPr>
        <w:t>, in all material respects,</w:t>
      </w:r>
      <w:r w:rsidRPr="00C142CF">
        <w:rPr>
          <w:sz w:val="20"/>
        </w:rPr>
        <w:t xml:space="preserve"> in accordance with the Instructions; or</w:t>
      </w:r>
    </w:p>
    <w:p w14:paraId="52A6A868" w14:textId="77777777" w:rsidR="00603593" w:rsidRDefault="00603593" w:rsidP="00976111">
      <w:pPr>
        <w:jc w:val="both"/>
        <w:rPr>
          <w:sz w:val="20"/>
        </w:rPr>
      </w:pPr>
    </w:p>
    <w:p w14:paraId="751F718F" w14:textId="1998F73E" w:rsidR="00483448" w:rsidRDefault="00976111" w:rsidP="007741DA">
      <w:pPr>
        <w:ind w:left="720" w:hanging="720"/>
        <w:jc w:val="both"/>
        <w:rPr>
          <w:sz w:val="20"/>
        </w:rPr>
      </w:pPr>
      <w:r>
        <w:rPr>
          <w:sz w:val="20"/>
        </w:rPr>
        <w:t>(i</w:t>
      </w:r>
      <w:r w:rsidR="004F4E52">
        <w:rPr>
          <w:sz w:val="20"/>
        </w:rPr>
        <w:t>i)</w:t>
      </w:r>
      <w:r w:rsidR="004F4E52">
        <w:rPr>
          <w:sz w:val="20"/>
        </w:rPr>
        <w:tab/>
      </w:r>
      <w:r w:rsidR="00483448">
        <w:rPr>
          <w:sz w:val="20"/>
        </w:rPr>
        <w:t xml:space="preserve">the </w:t>
      </w:r>
      <w:r w:rsidR="00983696">
        <w:rPr>
          <w:sz w:val="20"/>
        </w:rPr>
        <w:t>amounts</w:t>
      </w:r>
      <w:r w:rsidR="00483448">
        <w:rPr>
          <w:sz w:val="20"/>
        </w:rPr>
        <w:t xml:space="preserve"> reflected in </w:t>
      </w:r>
      <w:r w:rsidR="00983696">
        <w:rPr>
          <w:sz w:val="20"/>
        </w:rPr>
        <w:t xml:space="preserve">column B of </w:t>
      </w:r>
      <w:r w:rsidR="00483448">
        <w:rPr>
          <w:sz w:val="20"/>
        </w:rPr>
        <w:t xml:space="preserve">the Solvency II Balance Sheet do not agree to the </w:t>
      </w:r>
      <w:r w:rsidR="00983696">
        <w:rPr>
          <w:sz w:val="20"/>
        </w:rPr>
        <w:t xml:space="preserve">syndicate’s </w:t>
      </w:r>
      <w:r w:rsidR="00483448">
        <w:rPr>
          <w:sz w:val="20"/>
        </w:rPr>
        <w:t>QMA as at 30 June 2012.</w:t>
      </w:r>
    </w:p>
    <w:p w14:paraId="52546D24" w14:textId="77777777" w:rsidR="00483448" w:rsidRDefault="00483448" w:rsidP="007741DA">
      <w:pPr>
        <w:pStyle w:val="Heading2"/>
        <w:numPr>
          <w:ilvl w:val="0"/>
          <w:numId w:val="0"/>
        </w:numPr>
        <w:rPr>
          <w:sz w:val="20"/>
        </w:rPr>
      </w:pPr>
      <w:r w:rsidRPr="00C142CF" w:rsidDel="00483448">
        <w:rPr>
          <w:sz w:val="20"/>
        </w:rPr>
        <w:lastRenderedPageBreak/>
        <w:t xml:space="preserve"> </w:t>
      </w:r>
    </w:p>
    <w:p w14:paraId="0BEBD107" w14:textId="77777777" w:rsidR="00CD7B15" w:rsidRDefault="00CD7B15" w:rsidP="007741DA">
      <w:pPr>
        <w:pStyle w:val="Heading2"/>
        <w:numPr>
          <w:ilvl w:val="0"/>
          <w:numId w:val="0"/>
        </w:numPr>
        <w:rPr>
          <w:sz w:val="20"/>
        </w:rPr>
      </w:pPr>
    </w:p>
    <w:p w14:paraId="70BEAFF0" w14:textId="77777777" w:rsidR="00CD7B15" w:rsidRDefault="00CD7B15" w:rsidP="007741DA">
      <w:pPr>
        <w:pStyle w:val="Heading2"/>
        <w:numPr>
          <w:ilvl w:val="0"/>
          <w:numId w:val="0"/>
        </w:numPr>
        <w:rPr>
          <w:sz w:val="20"/>
        </w:rPr>
      </w:pPr>
    </w:p>
    <w:p w14:paraId="5E708571" w14:textId="77777777" w:rsidR="007741DA" w:rsidRPr="00C142CF" w:rsidRDefault="007741DA" w:rsidP="007741DA">
      <w:pPr>
        <w:pStyle w:val="Heading2"/>
        <w:numPr>
          <w:ilvl w:val="0"/>
          <w:numId w:val="0"/>
        </w:numPr>
        <w:rPr>
          <w:sz w:val="20"/>
        </w:rPr>
      </w:pPr>
      <w:r>
        <w:rPr>
          <w:sz w:val="20"/>
        </w:rPr>
        <w:t>[</w:t>
      </w:r>
      <w:r w:rsidRPr="00C142CF">
        <w:rPr>
          <w:sz w:val="20"/>
        </w:rPr>
        <w:t>Name of Recognised Accountants</w:t>
      </w:r>
      <w:r>
        <w:rPr>
          <w:sz w:val="20"/>
        </w:rPr>
        <w:t xml:space="preserve"> / Senior Statutory Auditor]</w:t>
      </w:r>
      <w:r w:rsidRPr="00C142CF">
        <w:rPr>
          <w:sz w:val="20"/>
        </w:rPr>
        <w:t>: ____________________</w:t>
      </w:r>
    </w:p>
    <w:p w14:paraId="1DBC389D" w14:textId="77777777" w:rsidR="00603593" w:rsidRDefault="00AA7159">
      <w:pPr>
        <w:pStyle w:val="Heading2"/>
        <w:numPr>
          <w:ilvl w:val="0"/>
          <w:numId w:val="0"/>
        </w:numPr>
        <w:rPr>
          <w:sz w:val="20"/>
        </w:rPr>
      </w:pPr>
      <w:r w:rsidRPr="00AA7159">
        <w:rPr>
          <w:sz w:val="20"/>
        </w:rPr>
        <w:t>London</w:t>
      </w:r>
    </w:p>
    <w:p w14:paraId="58D49C7A" w14:textId="77777777" w:rsidR="00603593" w:rsidRDefault="00AA7159">
      <w:pPr>
        <w:pStyle w:val="Heading2"/>
        <w:numPr>
          <w:ilvl w:val="0"/>
          <w:numId w:val="0"/>
        </w:numPr>
        <w:rPr>
          <w:sz w:val="20"/>
        </w:rPr>
      </w:pPr>
      <w:r w:rsidRPr="00AA7159">
        <w:rPr>
          <w:sz w:val="20"/>
        </w:rPr>
        <w:t>Date:</w:t>
      </w:r>
    </w:p>
    <w:p w14:paraId="6F83CC0F" w14:textId="77777777" w:rsidR="007741DA" w:rsidRPr="00C142CF" w:rsidRDefault="007741DA" w:rsidP="007741DA">
      <w:pPr>
        <w:rPr>
          <w:sz w:val="20"/>
        </w:rPr>
      </w:pPr>
    </w:p>
    <w:p w14:paraId="2E385030" w14:textId="77777777" w:rsidR="00603593" w:rsidRDefault="00603593">
      <w:pPr>
        <w:tabs>
          <w:tab w:val="left" w:pos="420"/>
        </w:tabs>
        <w:rPr>
          <w:rFonts w:cs="Arial"/>
          <w:sz w:val="20"/>
        </w:rPr>
      </w:pPr>
    </w:p>
    <w:p w14:paraId="41691B47" w14:textId="77777777" w:rsidR="00603593" w:rsidRDefault="00603593">
      <w:pPr>
        <w:tabs>
          <w:tab w:val="left" w:pos="420"/>
        </w:tabs>
        <w:rPr>
          <w:sz w:val="20"/>
        </w:rPr>
      </w:pPr>
    </w:p>
    <w:p w14:paraId="78484476" w14:textId="77777777" w:rsidR="00603593" w:rsidRDefault="00603593">
      <w:pPr>
        <w:tabs>
          <w:tab w:val="left" w:pos="420"/>
        </w:tabs>
        <w:rPr>
          <w:sz w:val="20"/>
        </w:rPr>
      </w:pPr>
    </w:p>
    <w:p w14:paraId="077762A0" w14:textId="77777777" w:rsidR="00603593" w:rsidRDefault="00603593">
      <w:pPr>
        <w:rPr>
          <w:sz w:val="20"/>
        </w:rPr>
      </w:pPr>
    </w:p>
    <w:p w14:paraId="0A0F3C11" w14:textId="77777777" w:rsidR="006D5A56" w:rsidRPr="00367701" w:rsidRDefault="006D5A56" w:rsidP="005D3768"/>
    <w:sectPr w:rsidR="006D5A56" w:rsidRPr="00367701" w:rsidSect="00AA7159">
      <w:headerReference w:type="default" r:id="rId13"/>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16FC" w14:textId="77777777" w:rsidR="00C6544F" w:rsidRDefault="00C6544F" w:rsidP="00A4580F">
      <w:pPr>
        <w:spacing w:line="240" w:lineRule="auto"/>
      </w:pPr>
      <w:r>
        <w:separator/>
      </w:r>
    </w:p>
  </w:endnote>
  <w:endnote w:type="continuationSeparator" w:id="0">
    <w:p w14:paraId="33DB8CE2" w14:textId="77777777" w:rsidR="00C6544F" w:rsidRDefault="00C6544F" w:rsidP="00A4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048A" w14:textId="77777777" w:rsidR="00C6544F" w:rsidRDefault="00C6544F" w:rsidP="00A4580F">
      <w:pPr>
        <w:spacing w:line="240" w:lineRule="auto"/>
      </w:pPr>
      <w:r>
        <w:separator/>
      </w:r>
    </w:p>
  </w:footnote>
  <w:footnote w:type="continuationSeparator" w:id="0">
    <w:p w14:paraId="386FB262" w14:textId="77777777" w:rsidR="00C6544F" w:rsidRDefault="00C6544F" w:rsidP="00A458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7967" w14:textId="654C2738" w:rsidR="00A4580F" w:rsidRDefault="00A45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C8431B"/>
    <w:multiLevelType w:val="hybridMultilevel"/>
    <w:tmpl w:val="6988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5">
    <w:nsid w:val="4FCB6EE3"/>
    <w:multiLevelType w:val="hybridMultilevel"/>
    <w:tmpl w:val="03D8E600"/>
    <w:lvl w:ilvl="0" w:tplc="342283A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2C270F1"/>
    <w:multiLevelType w:val="hybridMultilevel"/>
    <w:tmpl w:val="D9D8C8E4"/>
    <w:lvl w:ilvl="0" w:tplc="C36A2DF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7"/>
  </w:num>
  <w:num w:numId="5">
    <w:abstractNumId w:val="4"/>
  </w:num>
  <w:num w:numId="6">
    <w:abstractNumId w:val="1"/>
  </w:num>
  <w:num w:numId="7">
    <w:abstractNumId w:val="1"/>
  </w:num>
  <w:num w:numId="8">
    <w:abstractNumId w:val="0"/>
  </w:num>
  <w:num w:numId="9">
    <w:abstractNumId w:val="2"/>
  </w:num>
  <w:num w:numId="10">
    <w:abstractNumId w:val="4"/>
  </w:num>
  <w:num w:numId="11">
    <w:abstractNumId w:val="0"/>
  </w:num>
  <w:num w:numId="12">
    <w:abstractNumId w:val="7"/>
  </w:num>
  <w:num w:numId="13">
    <w:abstractNumId w:val="1"/>
  </w:num>
  <w:num w:numId="14">
    <w:abstractNumId w:val="1"/>
  </w:num>
  <w:num w:numId="15">
    <w:abstractNumId w:val="0"/>
  </w:num>
  <w:num w:numId="16">
    <w:abstractNumId w:val="7"/>
  </w:num>
  <w:num w:numId="17">
    <w:abstractNumId w:val="2"/>
  </w:num>
  <w:num w:numId="18">
    <w:abstractNumId w:val="2"/>
  </w:num>
  <w:num w:numId="19">
    <w:abstractNumId w:val="2"/>
  </w:num>
  <w:num w:numId="20">
    <w:abstractNumId w:val="0"/>
  </w:num>
  <w:num w:numId="21">
    <w:abstractNumId w:val="7"/>
  </w:num>
  <w:num w:numId="22">
    <w:abstractNumId w:val="7"/>
  </w:num>
  <w:num w:numId="23">
    <w:abstractNumId w:val="4"/>
  </w:num>
  <w:num w:numId="24">
    <w:abstractNumId w:val="4"/>
  </w:num>
  <w:num w:numId="25">
    <w:abstractNumId w:val="1"/>
  </w:num>
  <w:num w:numId="26">
    <w:abstractNumId w:val="4"/>
  </w:num>
  <w:num w:numId="27">
    <w:abstractNumId w:val="1"/>
  </w:num>
  <w:num w:numId="28">
    <w:abstractNumId w:val="0"/>
  </w:num>
  <w:num w:numId="29">
    <w:abstractNumId w:val="7"/>
  </w:num>
  <w:num w:numId="30">
    <w:abstractNumId w:val="2"/>
  </w:num>
  <w:num w:numId="31">
    <w:abstractNumId w:val="2"/>
  </w:num>
  <w:num w:numId="32">
    <w:abstractNumId w:val="2"/>
  </w:num>
  <w:num w:numId="33">
    <w:abstractNumId w:val="4"/>
  </w:num>
  <w:num w:numId="34">
    <w:abstractNumId w:val="4"/>
  </w:num>
  <w:num w:numId="35">
    <w:abstractNumId w:val="1"/>
  </w:num>
  <w:num w:numId="36">
    <w:abstractNumId w:val="0"/>
  </w:num>
  <w:num w:numId="37">
    <w:abstractNumId w:val="7"/>
  </w:num>
  <w:num w:numId="38">
    <w:abstractNumId w:val="7"/>
  </w:num>
  <w:num w:numId="39">
    <w:abstractNumId w:val="7"/>
  </w:num>
  <w:num w:numId="40">
    <w:abstractNumId w:val="7"/>
  </w:num>
  <w:num w:numId="41">
    <w:abstractNumId w:val="3"/>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DA"/>
    <w:rsid w:val="00022889"/>
    <w:rsid w:val="00026180"/>
    <w:rsid w:val="00053C32"/>
    <w:rsid w:val="00070DE4"/>
    <w:rsid w:val="00071A6F"/>
    <w:rsid w:val="000727E1"/>
    <w:rsid w:val="00073D50"/>
    <w:rsid w:val="00093DE6"/>
    <w:rsid w:val="000A5480"/>
    <w:rsid w:val="000C41D1"/>
    <w:rsid w:val="000E2D6B"/>
    <w:rsid w:val="000E5496"/>
    <w:rsid w:val="001846B4"/>
    <w:rsid w:val="001B184E"/>
    <w:rsid w:val="002043DB"/>
    <w:rsid w:val="00206BC5"/>
    <w:rsid w:val="00276B30"/>
    <w:rsid w:val="002819E9"/>
    <w:rsid w:val="002B3D3B"/>
    <w:rsid w:val="002E7376"/>
    <w:rsid w:val="00301FEC"/>
    <w:rsid w:val="003067CC"/>
    <w:rsid w:val="00313D8C"/>
    <w:rsid w:val="003214AB"/>
    <w:rsid w:val="00337B97"/>
    <w:rsid w:val="00344FD5"/>
    <w:rsid w:val="00362BBC"/>
    <w:rsid w:val="00367701"/>
    <w:rsid w:val="00371663"/>
    <w:rsid w:val="003A2843"/>
    <w:rsid w:val="00415703"/>
    <w:rsid w:val="00421A60"/>
    <w:rsid w:val="004249AF"/>
    <w:rsid w:val="004261E2"/>
    <w:rsid w:val="00447552"/>
    <w:rsid w:val="00447A09"/>
    <w:rsid w:val="00483448"/>
    <w:rsid w:val="00484DB6"/>
    <w:rsid w:val="004E2C1A"/>
    <w:rsid w:val="004F4E52"/>
    <w:rsid w:val="00506FF8"/>
    <w:rsid w:val="0051466E"/>
    <w:rsid w:val="00516694"/>
    <w:rsid w:val="00526FFA"/>
    <w:rsid w:val="00530A86"/>
    <w:rsid w:val="005476F9"/>
    <w:rsid w:val="00550D80"/>
    <w:rsid w:val="0056185A"/>
    <w:rsid w:val="00565D0B"/>
    <w:rsid w:val="005A4991"/>
    <w:rsid w:val="005B0855"/>
    <w:rsid w:val="005B6437"/>
    <w:rsid w:val="005C0FC7"/>
    <w:rsid w:val="005D06C2"/>
    <w:rsid w:val="005D3768"/>
    <w:rsid w:val="005E0F6D"/>
    <w:rsid w:val="005F7F43"/>
    <w:rsid w:val="00603593"/>
    <w:rsid w:val="00623317"/>
    <w:rsid w:val="006B1604"/>
    <w:rsid w:val="006C5F7E"/>
    <w:rsid w:val="006D5A56"/>
    <w:rsid w:val="007148D7"/>
    <w:rsid w:val="00721C40"/>
    <w:rsid w:val="00727690"/>
    <w:rsid w:val="007741DA"/>
    <w:rsid w:val="00787949"/>
    <w:rsid w:val="007B1E9A"/>
    <w:rsid w:val="007C17AF"/>
    <w:rsid w:val="007C57FF"/>
    <w:rsid w:val="007D45D8"/>
    <w:rsid w:val="007F7519"/>
    <w:rsid w:val="008040BF"/>
    <w:rsid w:val="008334BB"/>
    <w:rsid w:val="008B7683"/>
    <w:rsid w:val="008F7204"/>
    <w:rsid w:val="00902D48"/>
    <w:rsid w:val="0091465A"/>
    <w:rsid w:val="0092122E"/>
    <w:rsid w:val="00976111"/>
    <w:rsid w:val="00983696"/>
    <w:rsid w:val="0099733A"/>
    <w:rsid w:val="009B07CD"/>
    <w:rsid w:val="00A04B1E"/>
    <w:rsid w:val="00A074EB"/>
    <w:rsid w:val="00A17E50"/>
    <w:rsid w:val="00A431DD"/>
    <w:rsid w:val="00A4580F"/>
    <w:rsid w:val="00A85968"/>
    <w:rsid w:val="00AA7159"/>
    <w:rsid w:val="00AB2ED3"/>
    <w:rsid w:val="00AD6D9B"/>
    <w:rsid w:val="00AE468E"/>
    <w:rsid w:val="00AF4FEA"/>
    <w:rsid w:val="00B913F5"/>
    <w:rsid w:val="00BA5900"/>
    <w:rsid w:val="00BC0B62"/>
    <w:rsid w:val="00BC5AC5"/>
    <w:rsid w:val="00BF7D58"/>
    <w:rsid w:val="00C24228"/>
    <w:rsid w:val="00C339D7"/>
    <w:rsid w:val="00C54AC3"/>
    <w:rsid w:val="00C6544F"/>
    <w:rsid w:val="00C65F45"/>
    <w:rsid w:val="00C919F0"/>
    <w:rsid w:val="00CC0C68"/>
    <w:rsid w:val="00CD7B15"/>
    <w:rsid w:val="00CF0110"/>
    <w:rsid w:val="00D1354A"/>
    <w:rsid w:val="00D17A02"/>
    <w:rsid w:val="00D20CA9"/>
    <w:rsid w:val="00D257B9"/>
    <w:rsid w:val="00D47D7B"/>
    <w:rsid w:val="00D544DF"/>
    <w:rsid w:val="00D63D00"/>
    <w:rsid w:val="00D86A71"/>
    <w:rsid w:val="00DF2559"/>
    <w:rsid w:val="00E15F37"/>
    <w:rsid w:val="00E6627E"/>
    <w:rsid w:val="00ED6101"/>
    <w:rsid w:val="00F039FD"/>
    <w:rsid w:val="00F13974"/>
    <w:rsid w:val="00F45097"/>
    <w:rsid w:val="00F52BAE"/>
    <w:rsid w:val="00F84975"/>
    <w:rsid w:val="00F92646"/>
    <w:rsid w:val="00FA08F2"/>
    <w:rsid w:val="00FF3461"/>
    <w:rsid w:val="00FF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4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1DA"/>
    <w:pPr>
      <w:spacing w:line="280" w:lineRule="atLeast"/>
    </w:pPr>
    <w:rPr>
      <w:rFonts w:ascii="Arial" w:eastAsia="Times New Roman" w:hAnsi="Arial"/>
      <w:sz w:val="22"/>
      <w:lang w:eastAsia="en-US"/>
    </w:rPr>
  </w:style>
  <w:style w:type="paragraph" w:styleId="Heading1">
    <w:name w:val="heading 1"/>
    <w:basedOn w:val="Normal"/>
    <w:next w:val="Heading2"/>
    <w:qFormat/>
    <w:rsid w:val="00AA7159"/>
    <w:pPr>
      <w:numPr>
        <w:numId w:val="32"/>
      </w:numPr>
      <w:spacing w:before="240"/>
      <w:outlineLvl w:val="0"/>
    </w:pPr>
    <w:rPr>
      <w:b/>
      <w:kern w:val="28"/>
    </w:rPr>
  </w:style>
  <w:style w:type="paragraph" w:styleId="Heading2">
    <w:name w:val="heading 2"/>
    <w:basedOn w:val="Normal"/>
    <w:qFormat/>
    <w:rsid w:val="00AA7159"/>
    <w:pPr>
      <w:numPr>
        <w:ilvl w:val="1"/>
        <w:numId w:val="32"/>
      </w:numPr>
      <w:spacing w:before="240"/>
      <w:outlineLvl w:val="1"/>
    </w:pPr>
  </w:style>
  <w:style w:type="paragraph" w:styleId="Heading3">
    <w:name w:val="heading 3"/>
    <w:basedOn w:val="Normal"/>
    <w:qFormat/>
    <w:rsid w:val="00AA7159"/>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rsid w:val="00415703"/>
    <w:pPr>
      <w:numPr>
        <w:numId w:val="40"/>
      </w:numPr>
    </w:pPr>
  </w:style>
  <w:style w:type="paragraph" w:customStyle="1" w:styleId="LetterList">
    <w:name w:val="Letter List"/>
    <w:basedOn w:val="Heading1"/>
    <w:rsid w:val="00AA7159"/>
    <w:pPr>
      <w:numPr>
        <w:numId w:val="34"/>
      </w:numPr>
    </w:pPr>
    <w:rPr>
      <w:b w:val="0"/>
    </w:rPr>
  </w:style>
  <w:style w:type="paragraph" w:styleId="List">
    <w:name w:val="List"/>
    <w:basedOn w:val="Normal"/>
    <w:rsid w:val="00AA7159"/>
    <w:pPr>
      <w:ind w:left="283" w:hanging="283"/>
    </w:pPr>
  </w:style>
  <w:style w:type="paragraph" w:styleId="ListBullet">
    <w:name w:val="List Bullet"/>
    <w:basedOn w:val="LetterList"/>
    <w:rsid w:val="00AA7159"/>
    <w:pPr>
      <w:numPr>
        <w:numId w:val="35"/>
      </w:numPr>
    </w:pPr>
  </w:style>
  <w:style w:type="paragraph" w:customStyle="1" w:styleId="NumberList">
    <w:name w:val="Number List"/>
    <w:basedOn w:val="LetterList"/>
    <w:rsid w:val="00AA7159"/>
    <w:pPr>
      <w:numPr>
        <w:numId w:val="36"/>
      </w:numPr>
    </w:pPr>
  </w:style>
  <w:style w:type="paragraph" w:styleId="BodyText">
    <w:name w:val="Body Text"/>
    <w:basedOn w:val="Normal"/>
    <w:rsid w:val="007741DA"/>
    <w:pPr>
      <w:spacing w:line="240" w:lineRule="auto"/>
    </w:pPr>
    <w:rPr>
      <w:rFonts w:ascii="Times New Roman" w:hAnsi="Times New Roman"/>
      <w:snapToGrid w:val="0"/>
      <w:color w:val="000000"/>
      <w:sz w:val="24"/>
    </w:rPr>
  </w:style>
  <w:style w:type="paragraph" w:styleId="List2">
    <w:name w:val="List 2"/>
    <w:basedOn w:val="Normal"/>
    <w:rsid w:val="007741DA"/>
    <w:pPr>
      <w:ind w:left="566" w:hanging="283"/>
    </w:pPr>
  </w:style>
  <w:style w:type="paragraph" w:styleId="BalloonText">
    <w:name w:val="Balloon Text"/>
    <w:basedOn w:val="Normal"/>
    <w:link w:val="BalloonTextChar"/>
    <w:rsid w:val="00C54AC3"/>
    <w:pPr>
      <w:spacing w:line="240" w:lineRule="auto"/>
    </w:pPr>
    <w:rPr>
      <w:rFonts w:ascii="Tahoma" w:hAnsi="Tahoma" w:cs="Tahoma"/>
      <w:sz w:val="16"/>
      <w:szCs w:val="16"/>
    </w:rPr>
  </w:style>
  <w:style w:type="character" w:customStyle="1" w:styleId="BalloonTextChar">
    <w:name w:val="Balloon Text Char"/>
    <w:link w:val="BalloonText"/>
    <w:rsid w:val="00550D80"/>
    <w:rPr>
      <w:rFonts w:ascii="Tahoma" w:eastAsia="Times New Roman" w:hAnsi="Tahoma" w:cs="Tahoma"/>
      <w:sz w:val="16"/>
      <w:szCs w:val="16"/>
      <w:lang w:eastAsia="en-US"/>
    </w:rPr>
  </w:style>
  <w:style w:type="paragraph" w:styleId="Header">
    <w:name w:val="header"/>
    <w:basedOn w:val="Normal"/>
    <w:link w:val="HeaderChar"/>
    <w:rsid w:val="00A4580F"/>
    <w:pPr>
      <w:tabs>
        <w:tab w:val="center" w:pos="4513"/>
        <w:tab w:val="right" w:pos="9026"/>
      </w:tabs>
    </w:pPr>
  </w:style>
  <w:style w:type="character" w:customStyle="1" w:styleId="HeaderChar">
    <w:name w:val="Header Char"/>
    <w:link w:val="Header"/>
    <w:rsid w:val="00A4580F"/>
    <w:rPr>
      <w:rFonts w:ascii="Arial" w:eastAsia="Times New Roman" w:hAnsi="Arial"/>
      <w:sz w:val="22"/>
      <w:lang w:eastAsia="en-US"/>
    </w:rPr>
  </w:style>
  <w:style w:type="paragraph" w:styleId="Footer">
    <w:name w:val="footer"/>
    <w:basedOn w:val="Normal"/>
    <w:link w:val="FooterChar"/>
    <w:rsid w:val="00A4580F"/>
    <w:pPr>
      <w:tabs>
        <w:tab w:val="center" w:pos="4513"/>
        <w:tab w:val="right" w:pos="9026"/>
      </w:tabs>
    </w:pPr>
  </w:style>
  <w:style w:type="character" w:customStyle="1" w:styleId="FooterChar">
    <w:name w:val="Footer Char"/>
    <w:link w:val="Footer"/>
    <w:rsid w:val="00A4580F"/>
    <w:rPr>
      <w:rFonts w:ascii="Arial" w:eastAsia="Times New Roman" w:hAnsi="Arial"/>
      <w:sz w:val="22"/>
      <w:lang w:eastAsia="en-US"/>
    </w:rPr>
  </w:style>
  <w:style w:type="table" w:styleId="TableGrid">
    <w:name w:val="Table Grid"/>
    <w:basedOn w:val="TableNormal"/>
    <w:rsid w:val="00C54AC3"/>
    <w:pPr>
      <w:spacing w:line="220" w:lineRule="exact"/>
    </w:pPr>
    <w:rPr>
      <w:rFonts w:ascii="Arial" w:eastAsia="Times New Roman" w:hAnsi="Arial"/>
      <w:sz w:val="18"/>
      <w:szCs w:val="18"/>
    </w:rPr>
    <w:tblPr>
      <w:tblInd w:w="0" w:type="dxa"/>
      <w:tblBorders>
        <w:bottom w:val="single" w:sz="2" w:space="0" w:color="auto"/>
        <w:insideH w:val="single" w:sz="2" w:space="0" w:color="auto"/>
      </w:tblBorders>
      <w:tblCellMar>
        <w:top w:w="113" w:type="dxa"/>
        <w:left w:w="0" w:type="dxa"/>
        <w:bottom w:w="57" w:type="dxa"/>
        <w:right w:w="0" w:type="dxa"/>
      </w:tblCellMar>
    </w:tblPr>
    <w:tcPr>
      <w:vAlign w:val="bottom"/>
    </w:tcPr>
  </w:style>
  <w:style w:type="character" w:styleId="PageNumber">
    <w:name w:val="page number"/>
    <w:basedOn w:val="DefaultParagraphFont"/>
    <w:rsid w:val="00C54AC3"/>
  </w:style>
  <w:style w:type="paragraph" w:customStyle="1" w:styleId="Default">
    <w:name w:val="Default"/>
    <w:rsid w:val="00C54AC3"/>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371663"/>
    <w:rPr>
      <w:sz w:val="16"/>
      <w:szCs w:val="16"/>
    </w:rPr>
  </w:style>
  <w:style w:type="paragraph" w:styleId="CommentText">
    <w:name w:val="annotation text"/>
    <w:basedOn w:val="Normal"/>
    <w:link w:val="CommentTextChar"/>
    <w:rsid w:val="00371663"/>
    <w:pPr>
      <w:spacing w:line="240" w:lineRule="auto"/>
    </w:pPr>
    <w:rPr>
      <w:sz w:val="20"/>
    </w:rPr>
  </w:style>
  <w:style w:type="character" w:customStyle="1" w:styleId="CommentTextChar">
    <w:name w:val="Comment Text Char"/>
    <w:basedOn w:val="DefaultParagraphFont"/>
    <w:link w:val="CommentText"/>
    <w:rsid w:val="00371663"/>
    <w:rPr>
      <w:rFonts w:ascii="Arial" w:eastAsia="Times New Roman" w:hAnsi="Arial"/>
      <w:lang w:eastAsia="en-US"/>
    </w:rPr>
  </w:style>
  <w:style w:type="paragraph" w:styleId="CommentSubject">
    <w:name w:val="annotation subject"/>
    <w:basedOn w:val="CommentText"/>
    <w:next w:val="CommentText"/>
    <w:link w:val="CommentSubjectChar"/>
    <w:rsid w:val="00371663"/>
    <w:rPr>
      <w:b/>
      <w:bCs/>
    </w:rPr>
  </w:style>
  <w:style w:type="character" w:customStyle="1" w:styleId="CommentSubjectChar">
    <w:name w:val="Comment Subject Char"/>
    <w:basedOn w:val="CommentTextChar"/>
    <w:link w:val="CommentSubject"/>
    <w:rsid w:val="00371663"/>
    <w:rPr>
      <w:rFonts w:ascii="Arial" w:eastAsia="Times New Roman" w:hAnsi="Arial"/>
      <w:b/>
      <w:bCs/>
      <w:lang w:eastAsia="en-US"/>
    </w:rPr>
  </w:style>
  <w:style w:type="paragraph" w:styleId="Revision">
    <w:name w:val="Revision"/>
    <w:hidden/>
    <w:uiPriority w:val="99"/>
    <w:semiHidden/>
    <w:rsid w:val="00371663"/>
    <w:rPr>
      <w:rFonts w:ascii="Arial" w:eastAsia="Times New Roman"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1DA"/>
    <w:pPr>
      <w:spacing w:line="280" w:lineRule="atLeast"/>
    </w:pPr>
    <w:rPr>
      <w:rFonts w:ascii="Arial" w:eastAsia="Times New Roman" w:hAnsi="Arial"/>
      <w:sz w:val="22"/>
      <w:lang w:eastAsia="en-US"/>
    </w:rPr>
  </w:style>
  <w:style w:type="paragraph" w:styleId="Heading1">
    <w:name w:val="heading 1"/>
    <w:basedOn w:val="Normal"/>
    <w:next w:val="Heading2"/>
    <w:qFormat/>
    <w:rsid w:val="00AA7159"/>
    <w:pPr>
      <w:numPr>
        <w:numId w:val="32"/>
      </w:numPr>
      <w:spacing w:before="240"/>
      <w:outlineLvl w:val="0"/>
    </w:pPr>
    <w:rPr>
      <w:b/>
      <w:kern w:val="28"/>
    </w:rPr>
  </w:style>
  <w:style w:type="paragraph" w:styleId="Heading2">
    <w:name w:val="heading 2"/>
    <w:basedOn w:val="Normal"/>
    <w:qFormat/>
    <w:rsid w:val="00AA7159"/>
    <w:pPr>
      <w:numPr>
        <w:ilvl w:val="1"/>
        <w:numId w:val="32"/>
      </w:numPr>
      <w:spacing w:before="240"/>
      <w:outlineLvl w:val="1"/>
    </w:pPr>
  </w:style>
  <w:style w:type="paragraph" w:styleId="Heading3">
    <w:name w:val="heading 3"/>
    <w:basedOn w:val="Normal"/>
    <w:qFormat/>
    <w:rsid w:val="00AA7159"/>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rsid w:val="00415703"/>
    <w:pPr>
      <w:numPr>
        <w:numId w:val="40"/>
      </w:numPr>
    </w:pPr>
  </w:style>
  <w:style w:type="paragraph" w:customStyle="1" w:styleId="LetterList">
    <w:name w:val="Letter List"/>
    <w:basedOn w:val="Heading1"/>
    <w:rsid w:val="00AA7159"/>
    <w:pPr>
      <w:numPr>
        <w:numId w:val="34"/>
      </w:numPr>
    </w:pPr>
    <w:rPr>
      <w:b w:val="0"/>
    </w:rPr>
  </w:style>
  <w:style w:type="paragraph" w:styleId="List">
    <w:name w:val="List"/>
    <w:basedOn w:val="Normal"/>
    <w:rsid w:val="00AA7159"/>
    <w:pPr>
      <w:ind w:left="283" w:hanging="283"/>
    </w:pPr>
  </w:style>
  <w:style w:type="paragraph" w:styleId="ListBullet">
    <w:name w:val="List Bullet"/>
    <w:basedOn w:val="LetterList"/>
    <w:rsid w:val="00AA7159"/>
    <w:pPr>
      <w:numPr>
        <w:numId w:val="35"/>
      </w:numPr>
    </w:pPr>
  </w:style>
  <w:style w:type="paragraph" w:customStyle="1" w:styleId="NumberList">
    <w:name w:val="Number List"/>
    <w:basedOn w:val="LetterList"/>
    <w:rsid w:val="00AA7159"/>
    <w:pPr>
      <w:numPr>
        <w:numId w:val="36"/>
      </w:numPr>
    </w:pPr>
  </w:style>
  <w:style w:type="paragraph" w:styleId="BodyText">
    <w:name w:val="Body Text"/>
    <w:basedOn w:val="Normal"/>
    <w:rsid w:val="007741DA"/>
    <w:pPr>
      <w:spacing w:line="240" w:lineRule="auto"/>
    </w:pPr>
    <w:rPr>
      <w:rFonts w:ascii="Times New Roman" w:hAnsi="Times New Roman"/>
      <w:snapToGrid w:val="0"/>
      <w:color w:val="000000"/>
      <w:sz w:val="24"/>
    </w:rPr>
  </w:style>
  <w:style w:type="paragraph" w:styleId="List2">
    <w:name w:val="List 2"/>
    <w:basedOn w:val="Normal"/>
    <w:rsid w:val="007741DA"/>
    <w:pPr>
      <w:ind w:left="566" w:hanging="283"/>
    </w:pPr>
  </w:style>
  <w:style w:type="paragraph" w:styleId="BalloonText">
    <w:name w:val="Balloon Text"/>
    <w:basedOn w:val="Normal"/>
    <w:link w:val="BalloonTextChar"/>
    <w:rsid w:val="00C54AC3"/>
    <w:pPr>
      <w:spacing w:line="240" w:lineRule="auto"/>
    </w:pPr>
    <w:rPr>
      <w:rFonts w:ascii="Tahoma" w:hAnsi="Tahoma" w:cs="Tahoma"/>
      <w:sz w:val="16"/>
      <w:szCs w:val="16"/>
    </w:rPr>
  </w:style>
  <w:style w:type="character" w:customStyle="1" w:styleId="BalloonTextChar">
    <w:name w:val="Balloon Text Char"/>
    <w:link w:val="BalloonText"/>
    <w:rsid w:val="00550D80"/>
    <w:rPr>
      <w:rFonts w:ascii="Tahoma" w:eastAsia="Times New Roman" w:hAnsi="Tahoma" w:cs="Tahoma"/>
      <w:sz w:val="16"/>
      <w:szCs w:val="16"/>
      <w:lang w:eastAsia="en-US"/>
    </w:rPr>
  </w:style>
  <w:style w:type="paragraph" w:styleId="Header">
    <w:name w:val="header"/>
    <w:basedOn w:val="Normal"/>
    <w:link w:val="HeaderChar"/>
    <w:rsid w:val="00A4580F"/>
    <w:pPr>
      <w:tabs>
        <w:tab w:val="center" w:pos="4513"/>
        <w:tab w:val="right" w:pos="9026"/>
      </w:tabs>
    </w:pPr>
  </w:style>
  <w:style w:type="character" w:customStyle="1" w:styleId="HeaderChar">
    <w:name w:val="Header Char"/>
    <w:link w:val="Header"/>
    <w:rsid w:val="00A4580F"/>
    <w:rPr>
      <w:rFonts w:ascii="Arial" w:eastAsia="Times New Roman" w:hAnsi="Arial"/>
      <w:sz w:val="22"/>
      <w:lang w:eastAsia="en-US"/>
    </w:rPr>
  </w:style>
  <w:style w:type="paragraph" w:styleId="Footer">
    <w:name w:val="footer"/>
    <w:basedOn w:val="Normal"/>
    <w:link w:val="FooterChar"/>
    <w:rsid w:val="00A4580F"/>
    <w:pPr>
      <w:tabs>
        <w:tab w:val="center" w:pos="4513"/>
        <w:tab w:val="right" w:pos="9026"/>
      </w:tabs>
    </w:pPr>
  </w:style>
  <w:style w:type="character" w:customStyle="1" w:styleId="FooterChar">
    <w:name w:val="Footer Char"/>
    <w:link w:val="Footer"/>
    <w:rsid w:val="00A4580F"/>
    <w:rPr>
      <w:rFonts w:ascii="Arial" w:eastAsia="Times New Roman" w:hAnsi="Arial"/>
      <w:sz w:val="22"/>
      <w:lang w:eastAsia="en-US"/>
    </w:rPr>
  </w:style>
  <w:style w:type="table" w:styleId="TableGrid">
    <w:name w:val="Table Grid"/>
    <w:basedOn w:val="TableNormal"/>
    <w:rsid w:val="00C54AC3"/>
    <w:pPr>
      <w:spacing w:line="220" w:lineRule="exact"/>
    </w:pPr>
    <w:rPr>
      <w:rFonts w:ascii="Arial" w:eastAsia="Times New Roman" w:hAnsi="Arial"/>
      <w:sz w:val="18"/>
      <w:szCs w:val="18"/>
    </w:rPr>
    <w:tblPr>
      <w:tblInd w:w="0" w:type="dxa"/>
      <w:tblBorders>
        <w:bottom w:val="single" w:sz="2" w:space="0" w:color="auto"/>
        <w:insideH w:val="single" w:sz="2" w:space="0" w:color="auto"/>
      </w:tblBorders>
      <w:tblCellMar>
        <w:top w:w="113" w:type="dxa"/>
        <w:left w:w="0" w:type="dxa"/>
        <w:bottom w:w="57" w:type="dxa"/>
        <w:right w:w="0" w:type="dxa"/>
      </w:tblCellMar>
    </w:tblPr>
    <w:tcPr>
      <w:vAlign w:val="bottom"/>
    </w:tcPr>
  </w:style>
  <w:style w:type="character" w:styleId="PageNumber">
    <w:name w:val="page number"/>
    <w:basedOn w:val="DefaultParagraphFont"/>
    <w:rsid w:val="00C54AC3"/>
  </w:style>
  <w:style w:type="paragraph" w:customStyle="1" w:styleId="Default">
    <w:name w:val="Default"/>
    <w:rsid w:val="00C54AC3"/>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371663"/>
    <w:rPr>
      <w:sz w:val="16"/>
      <w:szCs w:val="16"/>
    </w:rPr>
  </w:style>
  <w:style w:type="paragraph" w:styleId="CommentText">
    <w:name w:val="annotation text"/>
    <w:basedOn w:val="Normal"/>
    <w:link w:val="CommentTextChar"/>
    <w:rsid w:val="00371663"/>
    <w:pPr>
      <w:spacing w:line="240" w:lineRule="auto"/>
    </w:pPr>
    <w:rPr>
      <w:sz w:val="20"/>
    </w:rPr>
  </w:style>
  <w:style w:type="character" w:customStyle="1" w:styleId="CommentTextChar">
    <w:name w:val="Comment Text Char"/>
    <w:basedOn w:val="DefaultParagraphFont"/>
    <w:link w:val="CommentText"/>
    <w:rsid w:val="00371663"/>
    <w:rPr>
      <w:rFonts w:ascii="Arial" w:eastAsia="Times New Roman" w:hAnsi="Arial"/>
      <w:lang w:eastAsia="en-US"/>
    </w:rPr>
  </w:style>
  <w:style w:type="paragraph" w:styleId="CommentSubject">
    <w:name w:val="annotation subject"/>
    <w:basedOn w:val="CommentText"/>
    <w:next w:val="CommentText"/>
    <w:link w:val="CommentSubjectChar"/>
    <w:rsid w:val="00371663"/>
    <w:rPr>
      <w:b/>
      <w:bCs/>
    </w:rPr>
  </w:style>
  <w:style w:type="character" w:customStyle="1" w:styleId="CommentSubjectChar">
    <w:name w:val="Comment Subject Char"/>
    <w:basedOn w:val="CommentTextChar"/>
    <w:link w:val="CommentSubject"/>
    <w:rsid w:val="00371663"/>
    <w:rPr>
      <w:rFonts w:ascii="Arial" w:eastAsia="Times New Roman" w:hAnsi="Arial"/>
      <w:b/>
      <w:bCs/>
      <w:lang w:eastAsia="en-US"/>
    </w:rPr>
  </w:style>
  <w:style w:type="paragraph" w:styleId="Revision">
    <w:name w:val="Revision"/>
    <w:hidden/>
    <w:uiPriority w:val="99"/>
    <w:semiHidden/>
    <w:rsid w:val="00371663"/>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b8fe962d-9358-414b-a911-6d8ea95b7609" xsi:nil="true"/>
    <_dlc_DocId xmlns="dbb8d064-0aab-4a9d-9217-8199e4b57163">SOLVII-129-820</_dlc_DocId>
    <TaxCatchAll xmlns="dbb8d064-0aab-4a9d-9217-8199e4b57163"/>
    <_dlc_DocIdUrl xmlns="dbb8d064-0aab-4a9d-9217-8199e4b57163">
      <Url>http://sharepoint/programmes/SolvencyII/Reporting/_layouts/DocIdRedir.aspx?ID=SOLVII-129-820</Url>
      <Description>SOLVII-129-820</Description>
    </_dlc_DocIdUrl>
    <DLCPolicyLabelLock xmlns="b8fe962d-9358-414b-a911-6d8ea95b7609" xsi:nil="true"/>
    <SolvencyII_x0020_ReferenceTaxHTField0 xmlns="dbb8d064-0aab-4a9d-9217-8199e4b57163">
      <Terms xmlns="http://schemas.microsoft.com/office/infopath/2007/PartnerControls"/>
    </SolvencyII_x0020_Reference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453B37C2E9F5943BFD0439B3B5156A7" ma:contentTypeVersion="10" ma:contentTypeDescription="Create a new document." ma:contentTypeScope="" ma:versionID="a3eb72617db323512a2e4e501f9fe012">
  <xsd:schema xmlns:xsd="http://www.w3.org/2001/XMLSchema" xmlns:xs="http://www.w3.org/2001/XMLSchema" xmlns:p="http://schemas.microsoft.com/office/2006/metadata/properties" xmlns:ns2="dbb8d064-0aab-4a9d-9217-8199e4b57163" xmlns:ns3="b8fe962d-9358-414b-a911-6d8ea95b7609" targetNamespace="http://schemas.microsoft.com/office/2006/metadata/properties" ma:root="true" ma:fieldsID="1ccfb66fd0444f4d14a1afd49a3f6785" ns2:_="" ns3:_="">
    <xsd:import namespace="dbb8d064-0aab-4a9d-9217-8199e4b57163"/>
    <xsd:import namespace="b8fe962d-9358-414b-a911-6d8ea95b7609"/>
    <xsd:element name="properties">
      <xsd:complexType>
        <xsd:sequence>
          <xsd:element name="documentManagement">
            <xsd:complexType>
              <xsd:all>
                <xsd:element ref="ns2:SolvencyII_x0020_ReferenceTaxHTField0" minOccurs="0"/>
                <xsd:element ref="ns2:TaxCatchAll" minOccurs="0"/>
                <xsd:element ref="ns2:TaxCatchAllLabel" minOccurs="0"/>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d064-0aab-4a9d-9217-8199e4b57163" elementFormDefault="qualified">
    <xsd:import namespace="http://schemas.microsoft.com/office/2006/documentManagement/types"/>
    <xsd:import namespace="http://schemas.microsoft.com/office/infopath/2007/PartnerControls"/>
    <xsd:element name="SolvencyII_x0020_ReferenceTaxHTField0" ma:index="9" nillable="true" ma:taxonomy="true" ma:internalName="SolvencyII_x0020_ReferenceTaxHTField0" ma:taxonomyFieldName="SolvencyII_x0020_Reference" ma:displayName="SolvencyII Reference" ma:default="" ma:fieldId="{ee767006-251a-4c46-90ac-ffa44f083c0a}" ma:taxonomyMulti="true" ma:sspId="6a98ba88-a5cd-4093-9c0d-7244f9eef3e8" ma:termSetId="00771e3f-ff45-4955-8419-89aeacf30bb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ec4da26-474f-4066-a54e-fca6ff69f168}" ma:internalName="TaxCatchAll" ma:showField="CatchAllData" ma:web="dbb8d064-0aab-4a9d-9217-8199e4b5716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ec4da26-474f-4066-a54e-fca6ff69f168}" ma:internalName="TaxCatchAllLabel" ma:readOnly="true" ma:showField="CatchAllDataLabel" ma:web="dbb8d064-0aab-4a9d-9217-8199e4b5716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fe962d-9358-414b-a911-6d8ea95b7609" elementFormDefault="qualified">
    <xsd:import namespace="http://schemas.microsoft.com/office/2006/documentManagement/types"/>
    <xsd:import namespace="http://schemas.microsoft.com/office/infopath/2007/PartnerControls"/>
    <xsd:element name="DLCPolicyLabelValue" ma:index="1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C2932-3A82-4D21-841E-8A69C6AE236A}">
  <ds:schemaRefs>
    <ds:schemaRef ds:uri="http://purl.org/dc/dcmitype/"/>
    <ds:schemaRef ds:uri="http://schemas.microsoft.com/office/2006/documentManagement/types"/>
    <ds:schemaRef ds:uri="b8fe962d-9358-414b-a911-6d8ea95b7609"/>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dbb8d064-0aab-4a9d-9217-8199e4b57163"/>
  </ds:schemaRefs>
</ds:datastoreItem>
</file>

<file path=customXml/itemProps2.xml><?xml version="1.0" encoding="utf-8"?>
<ds:datastoreItem xmlns:ds="http://schemas.openxmlformats.org/officeDocument/2006/customXml" ds:itemID="{92806496-D4BF-4B65-8007-32F7C2121991}">
  <ds:schemaRefs>
    <ds:schemaRef ds:uri="http://schemas.microsoft.com/sharepoint/events"/>
  </ds:schemaRefs>
</ds:datastoreItem>
</file>

<file path=customXml/itemProps3.xml><?xml version="1.0" encoding="utf-8"?>
<ds:datastoreItem xmlns:ds="http://schemas.openxmlformats.org/officeDocument/2006/customXml" ds:itemID="{DEDC2ECD-C7A7-4D92-84C1-13D9A4998632}">
  <ds:schemaRefs>
    <ds:schemaRef ds:uri="http://schemas.microsoft.com/office/2006/metadata/longProperties"/>
  </ds:schemaRefs>
</ds:datastoreItem>
</file>

<file path=customXml/itemProps4.xml><?xml version="1.0" encoding="utf-8"?>
<ds:datastoreItem xmlns:ds="http://schemas.openxmlformats.org/officeDocument/2006/customXml" ds:itemID="{7CBF63DC-1F4E-479A-A255-D62855491092}">
  <ds:schemaRefs>
    <ds:schemaRef ds:uri="http://schemas.microsoft.com/sharepoint/v3/contenttype/forms"/>
  </ds:schemaRefs>
</ds:datastoreItem>
</file>

<file path=customXml/itemProps5.xml><?xml version="1.0" encoding="utf-8"?>
<ds:datastoreItem xmlns:ds="http://schemas.openxmlformats.org/officeDocument/2006/customXml" ds:itemID="{C929DE80-71CF-4C7C-A9B7-9020374E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d064-0aab-4a9d-9217-8199e4b57163"/>
    <ds:schemaRef ds:uri="b8fe962d-9358-414b-a911-6d8ea95b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6CB4FC0D.dotm</Template>
  <TotalTime>1</TotalTime>
  <Pages>2</Pages>
  <Words>468</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910 Managing Agent’s Report</vt:lpstr>
    </vt:vector>
  </TitlesOfParts>
  <Company>Lloyd's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 Managing Agent’s Report</dc:title>
  <dc:subject>Global Corporation Template</dc:subject>
  <dc:creator>smithr</dc:creator>
  <cp:lastModifiedBy>Rachel Flynn</cp:lastModifiedBy>
  <cp:revision>2</cp:revision>
  <cp:lastPrinted>2012-03-19T09:16:00Z</cp:lastPrinted>
  <dcterms:created xsi:type="dcterms:W3CDTF">2012-04-10T10:54:00Z</dcterms:created>
  <dcterms:modified xsi:type="dcterms:W3CDTF">2012-04-10T10:54:00Z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0x010100B453B37C2E9F5943BFD0439B3B5156A7</vt:lpwstr>
  </property>
  <property fmtid="{D5CDD505-2E9C-101B-9397-08002B2CF9AE}" pid="3" name="SolvencyII ReferenceTaxHTField0">
    <vt:lpwstr/>
  </property>
  <property fmtid="{D5CDD505-2E9C-101B-9397-08002B2CF9AE}" pid="4" name="TaxCatchAll">
    <vt:lpwstr/>
  </property>
  <property fmtid="{D5CDD505-2E9C-101B-9397-08002B2CF9AE}" pid="5" name="DLCPolicyLabelClientValue">
    <vt:lpwstr/>
  </property>
  <property fmtid="{D5CDD505-2E9C-101B-9397-08002B2CF9AE}" pid="6" name="DLCPolicyLabelLock">
    <vt:lpwstr/>
  </property>
  <property fmtid="{D5CDD505-2E9C-101B-9397-08002B2CF9AE}" pid="7" name="SolvencyII Reference">
    <vt:lpwstr/>
  </property>
  <property fmtid="{D5CDD505-2E9C-101B-9397-08002B2CF9AE}" pid="8" name="_dlc_DocId">
    <vt:lpwstr>SOLVII-129-800</vt:lpwstr>
  </property>
  <property fmtid="{D5CDD505-2E9C-101B-9397-08002B2CF9AE}" pid="9" name="_dlc_DocIdItemGuid">
    <vt:lpwstr>a70d6955-a524-4109-b0a8-48bc03f1e4ac</vt:lpwstr>
  </property>
  <property fmtid="{D5CDD505-2E9C-101B-9397-08002B2CF9AE}" pid="10" name="_dlc_DocIdUrl">
    <vt:lpwstr>http://sharepoint/programmes/SolvencyII/Reporting/_layouts/DocIdRedir.aspx?ID=SOLVII-129-800, SOLVII-129-800</vt:lpwstr>
  </property>
  <property fmtid="{D5CDD505-2E9C-101B-9397-08002B2CF9AE}" pid="11" name="TaxKeywordTaxHTField">
    <vt:lpwstr/>
  </property>
  <property fmtid="{D5CDD505-2E9C-101B-9397-08002B2CF9AE}" pid="12" name="TaxKeyword">
    <vt:lpwstr/>
  </property>
</Properties>
</file>