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BEDC7" w14:textId="77777777" w:rsidR="00500925" w:rsidRPr="00920E25" w:rsidRDefault="00500925" w:rsidP="00500925">
      <w:pPr>
        <w:jc w:val="both"/>
        <w:rPr>
          <w:b/>
          <w:lang w:eastAsia="en-GB"/>
        </w:rPr>
      </w:pPr>
      <w:r w:rsidRPr="00920E25">
        <w:rPr>
          <w:b/>
          <w:lang w:eastAsia="en-GB"/>
        </w:rPr>
        <w:t>LLOYD’S SYNDICATES</w:t>
      </w:r>
    </w:p>
    <w:p w14:paraId="36982F80" w14:textId="7BD83E3B" w:rsidR="004717D6" w:rsidRDefault="00775E09" w:rsidP="00500925">
      <w:pPr>
        <w:pStyle w:val="Heading1"/>
        <w:numPr>
          <w:ilvl w:val="0"/>
          <w:numId w:val="0"/>
        </w:numPr>
        <w:jc w:val="both"/>
        <w:rPr>
          <w:rFonts w:cs="Arial"/>
          <w:sz w:val="20"/>
          <w:lang w:eastAsia="en-GB"/>
        </w:rPr>
      </w:pPr>
      <w:r>
        <w:rPr>
          <w:rFonts w:cs="Arial"/>
          <w:sz w:val="20"/>
          <w:lang w:eastAsia="en-GB"/>
        </w:rPr>
        <w:t>Q</w:t>
      </w:r>
      <w:r w:rsidR="00E62248">
        <w:rPr>
          <w:rFonts w:cs="Arial"/>
          <w:sz w:val="20"/>
          <w:lang w:eastAsia="en-GB"/>
        </w:rPr>
        <w:t xml:space="preserve">uarterly Monitoring Return </w:t>
      </w:r>
      <w:r w:rsidR="004717D6">
        <w:rPr>
          <w:rFonts w:cs="Arial"/>
          <w:sz w:val="20"/>
          <w:lang w:eastAsia="en-GB"/>
        </w:rPr>
        <w:t>(Part C) (</w:t>
      </w:r>
      <w:r w:rsidR="00E62248">
        <w:rPr>
          <w:rFonts w:cs="Arial"/>
          <w:sz w:val="20"/>
          <w:lang w:eastAsia="en-GB"/>
        </w:rPr>
        <w:t xml:space="preserve">QMC) </w:t>
      </w:r>
      <w:r w:rsidR="00500925">
        <w:rPr>
          <w:rFonts w:cs="Arial"/>
          <w:sz w:val="20"/>
          <w:lang w:eastAsia="en-GB"/>
        </w:rPr>
        <w:t xml:space="preserve">– </w:t>
      </w:r>
      <w:r w:rsidR="004717D6">
        <w:rPr>
          <w:rFonts w:cs="Arial"/>
          <w:sz w:val="20"/>
          <w:lang w:eastAsia="en-GB"/>
        </w:rPr>
        <w:t>QMC930</w:t>
      </w:r>
    </w:p>
    <w:p w14:paraId="78EDA3DC" w14:textId="0155FC2F" w:rsidR="00500925" w:rsidRPr="0027792F" w:rsidRDefault="00500925" w:rsidP="00500925">
      <w:pPr>
        <w:pStyle w:val="Heading1"/>
        <w:numPr>
          <w:ilvl w:val="0"/>
          <w:numId w:val="0"/>
        </w:numPr>
        <w:jc w:val="both"/>
        <w:rPr>
          <w:rFonts w:cs="Arial"/>
          <w:sz w:val="20"/>
          <w:lang w:eastAsia="en-GB"/>
        </w:rPr>
      </w:pPr>
      <w:r>
        <w:rPr>
          <w:rFonts w:cs="Arial"/>
          <w:sz w:val="20"/>
          <w:lang w:eastAsia="en-GB"/>
        </w:rPr>
        <w:t>31 December 2012</w:t>
      </w:r>
    </w:p>
    <w:p w14:paraId="4FB43472" w14:textId="77777777" w:rsidR="00500925" w:rsidRPr="0027792F" w:rsidRDefault="00500925" w:rsidP="00500925">
      <w:pPr>
        <w:jc w:val="both"/>
        <w:rPr>
          <w:rFonts w:cs="Arial"/>
          <w:sz w:val="20"/>
          <w:lang w:eastAsia="en-GB"/>
        </w:rPr>
      </w:pPr>
    </w:p>
    <w:p w14:paraId="4F4CC744" w14:textId="77777777" w:rsidR="00500925" w:rsidRPr="0027792F" w:rsidRDefault="00500925" w:rsidP="00500925">
      <w:pPr>
        <w:pStyle w:val="BodyText"/>
        <w:jc w:val="both"/>
        <w:rPr>
          <w:rFonts w:ascii="Arial" w:hAnsi="Arial" w:cs="Arial"/>
          <w:b/>
          <w:i/>
          <w:sz w:val="20"/>
          <w:lang w:eastAsia="en-GB"/>
        </w:rPr>
      </w:pPr>
      <w:r w:rsidRPr="0027792F">
        <w:rPr>
          <w:rFonts w:ascii="Arial" w:hAnsi="Arial" w:cs="Arial"/>
          <w:b/>
          <w:i/>
          <w:sz w:val="20"/>
          <w:lang w:eastAsia="en-GB"/>
        </w:rPr>
        <w:t>Independent auditors’ report to the directors of the managing agent and the Council of Lloyd’s</w:t>
      </w:r>
    </w:p>
    <w:p w14:paraId="4F854AFA" w14:textId="77777777" w:rsidR="00500925" w:rsidRPr="0027792F" w:rsidRDefault="00500925" w:rsidP="00500925">
      <w:pPr>
        <w:pStyle w:val="BodyText"/>
        <w:jc w:val="both"/>
        <w:rPr>
          <w:rFonts w:ascii="Arial" w:hAnsi="Arial" w:cs="Arial"/>
          <w:b/>
          <w:sz w:val="20"/>
          <w:lang w:eastAsia="en-GB"/>
        </w:rPr>
      </w:pPr>
    </w:p>
    <w:p w14:paraId="479A3967" w14:textId="77777777" w:rsidR="00500925" w:rsidRPr="0027792F" w:rsidRDefault="00500925" w:rsidP="00500925">
      <w:pPr>
        <w:pStyle w:val="BodyText"/>
        <w:jc w:val="both"/>
        <w:rPr>
          <w:rFonts w:ascii="Arial" w:hAnsi="Arial" w:cs="Arial"/>
          <w:b/>
          <w:sz w:val="20"/>
          <w:lang w:eastAsia="en-GB"/>
        </w:rPr>
      </w:pPr>
      <w:r w:rsidRPr="0027792F">
        <w:rPr>
          <w:rFonts w:ascii="Arial" w:hAnsi="Arial" w:cs="Arial"/>
          <w:b/>
          <w:sz w:val="20"/>
          <w:lang w:eastAsia="en-GB"/>
        </w:rPr>
        <w:t xml:space="preserve">Syndicate No: </w:t>
      </w:r>
      <w:r w:rsidRPr="0027792F">
        <w:rPr>
          <w:rFonts w:ascii="Arial" w:hAnsi="Arial" w:cs="Arial"/>
          <w:b/>
          <w:sz w:val="20"/>
          <w:lang w:eastAsia="en-GB"/>
        </w:rPr>
        <w:tab/>
        <w:t>___________________</w:t>
      </w:r>
    </w:p>
    <w:p w14:paraId="0299036E" w14:textId="77777777" w:rsidR="00500925" w:rsidRPr="0027792F" w:rsidRDefault="00500925" w:rsidP="00500925">
      <w:pPr>
        <w:pStyle w:val="BodyText"/>
        <w:jc w:val="both"/>
        <w:rPr>
          <w:rFonts w:ascii="Arial" w:hAnsi="Arial" w:cs="Arial"/>
          <w:b/>
          <w:sz w:val="20"/>
          <w:lang w:eastAsia="en-GB"/>
        </w:rPr>
      </w:pPr>
    </w:p>
    <w:p w14:paraId="432552BA" w14:textId="77777777" w:rsidR="00500925" w:rsidRPr="0027792F" w:rsidRDefault="00500925" w:rsidP="00500925">
      <w:pPr>
        <w:pStyle w:val="BodyText"/>
        <w:jc w:val="both"/>
        <w:rPr>
          <w:rFonts w:ascii="Arial" w:hAnsi="Arial" w:cs="Arial"/>
          <w:b/>
          <w:sz w:val="20"/>
          <w:lang w:eastAsia="en-GB"/>
        </w:rPr>
      </w:pPr>
      <w:r w:rsidRPr="0027792F">
        <w:rPr>
          <w:rFonts w:ascii="Arial" w:hAnsi="Arial" w:cs="Arial"/>
          <w:b/>
          <w:sz w:val="20"/>
          <w:lang w:eastAsia="en-GB"/>
        </w:rPr>
        <w:t>Managing Agent</w:t>
      </w:r>
      <w:r>
        <w:rPr>
          <w:rFonts w:ascii="Arial" w:hAnsi="Arial" w:cs="Arial"/>
          <w:b/>
          <w:sz w:val="20"/>
          <w:lang w:eastAsia="en-GB"/>
        </w:rPr>
        <w:t xml:space="preserve">:  </w:t>
      </w:r>
      <w:r w:rsidRPr="0027792F">
        <w:rPr>
          <w:rFonts w:ascii="Arial" w:hAnsi="Arial" w:cs="Arial"/>
          <w:b/>
          <w:sz w:val="20"/>
          <w:lang w:eastAsia="en-GB"/>
        </w:rPr>
        <w:t>_____________________________________</w:t>
      </w:r>
    </w:p>
    <w:p w14:paraId="09E37328" w14:textId="77777777" w:rsidR="00500925" w:rsidRPr="0027792F" w:rsidRDefault="00500925" w:rsidP="00500925">
      <w:pPr>
        <w:pStyle w:val="BodyText"/>
        <w:jc w:val="both"/>
        <w:rPr>
          <w:rFonts w:ascii="Arial" w:hAnsi="Arial" w:cs="Arial"/>
          <w:sz w:val="20"/>
          <w:lang w:eastAsia="en-GB"/>
        </w:rPr>
      </w:pPr>
    </w:p>
    <w:p w14:paraId="75C577E1" w14:textId="181662FF" w:rsidR="00500925" w:rsidRPr="005E5814" w:rsidRDefault="00500925" w:rsidP="00500925">
      <w:pPr>
        <w:pStyle w:val="BodyText"/>
        <w:jc w:val="both"/>
        <w:rPr>
          <w:rFonts w:ascii="Arial" w:hAnsi="Arial" w:cs="Arial"/>
          <w:color w:val="auto"/>
          <w:sz w:val="20"/>
          <w:lang w:eastAsia="en-GB"/>
        </w:rPr>
      </w:pPr>
      <w:r w:rsidRPr="0027792F">
        <w:rPr>
          <w:rFonts w:ascii="Arial" w:hAnsi="Arial" w:cs="Arial"/>
          <w:sz w:val="20"/>
          <w:lang w:eastAsia="en-GB"/>
        </w:rPr>
        <w:t xml:space="preserve">We have examined the systems and procedures in operation by the above-named Managing Agent </w:t>
      </w:r>
      <w:r>
        <w:rPr>
          <w:rFonts w:ascii="Arial" w:hAnsi="Arial" w:cs="Arial"/>
          <w:sz w:val="20"/>
          <w:lang w:eastAsia="en-GB"/>
        </w:rPr>
        <w:t>in respect of the</w:t>
      </w:r>
      <w:r w:rsidRPr="0027792F">
        <w:rPr>
          <w:rFonts w:ascii="Arial" w:hAnsi="Arial" w:cs="Arial"/>
          <w:sz w:val="20"/>
          <w:lang w:eastAsia="en-GB"/>
        </w:rPr>
        <w:t xml:space="preserve"> syndicate for the year ended 31 December 20</w:t>
      </w:r>
      <w:r>
        <w:rPr>
          <w:rFonts w:ascii="Arial" w:hAnsi="Arial" w:cs="Arial"/>
          <w:sz w:val="20"/>
          <w:lang w:eastAsia="en-GB"/>
        </w:rPr>
        <w:t>12</w:t>
      </w:r>
      <w:r w:rsidRPr="0027792F">
        <w:rPr>
          <w:rFonts w:ascii="Arial" w:hAnsi="Arial" w:cs="Arial"/>
          <w:sz w:val="20"/>
          <w:lang w:eastAsia="en-GB"/>
        </w:rPr>
        <w:t xml:space="preserve">, and the </w:t>
      </w:r>
      <w:r w:rsidR="00775E09">
        <w:rPr>
          <w:rFonts w:ascii="Arial" w:hAnsi="Arial" w:cs="Arial"/>
          <w:sz w:val="20"/>
          <w:lang w:eastAsia="en-GB"/>
        </w:rPr>
        <w:t>QMC</w:t>
      </w:r>
      <w:r>
        <w:rPr>
          <w:rFonts w:ascii="Arial" w:hAnsi="Arial" w:cs="Arial"/>
          <w:sz w:val="20"/>
          <w:lang w:eastAsia="en-GB"/>
        </w:rPr>
        <w:t>, as defined in the Q</w:t>
      </w:r>
      <w:r w:rsidR="00775E09">
        <w:rPr>
          <w:rFonts w:ascii="Arial" w:hAnsi="Arial" w:cs="Arial"/>
          <w:sz w:val="20"/>
          <w:lang w:eastAsia="en-GB"/>
        </w:rPr>
        <w:t>uarterly</w:t>
      </w:r>
      <w:r>
        <w:rPr>
          <w:rFonts w:ascii="Arial" w:hAnsi="Arial" w:cs="Arial"/>
          <w:sz w:val="20"/>
          <w:lang w:eastAsia="en-GB"/>
        </w:rPr>
        <w:t xml:space="preserve"> Monitoring Return </w:t>
      </w:r>
      <w:r w:rsidR="008F6818">
        <w:rPr>
          <w:rFonts w:ascii="Arial" w:hAnsi="Arial" w:cs="Arial"/>
          <w:sz w:val="20"/>
          <w:lang w:eastAsia="en-GB"/>
        </w:rPr>
        <w:t xml:space="preserve">Part </w:t>
      </w:r>
      <w:r w:rsidR="00775E09">
        <w:rPr>
          <w:rFonts w:ascii="Arial" w:hAnsi="Arial" w:cs="Arial"/>
          <w:sz w:val="20"/>
          <w:lang w:eastAsia="en-GB"/>
        </w:rPr>
        <w:t>C (QMC) i</w:t>
      </w:r>
      <w:r>
        <w:rPr>
          <w:rFonts w:ascii="Arial" w:hAnsi="Arial" w:cs="Arial"/>
          <w:sz w:val="20"/>
          <w:lang w:eastAsia="en-GB"/>
        </w:rPr>
        <w:t xml:space="preserve">nstructions referred to by Lloyd’s in its </w:t>
      </w:r>
      <w:r w:rsidRPr="0027792F">
        <w:rPr>
          <w:rFonts w:ascii="Arial" w:hAnsi="Arial" w:cs="Arial"/>
          <w:sz w:val="20"/>
          <w:lang w:eastAsia="en-GB"/>
        </w:rPr>
        <w:t xml:space="preserve">Market Bulletin ref: </w:t>
      </w:r>
      <w:r>
        <w:rPr>
          <w:rFonts w:ascii="Arial" w:hAnsi="Arial" w:cs="Arial"/>
          <w:color w:val="auto"/>
          <w:sz w:val="20"/>
          <w:lang w:eastAsia="en-GB"/>
        </w:rPr>
        <w:t>Y</w:t>
      </w:r>
      <w:r w:rsidR="00CB1DE4">
        <w:rPr>
          <w:rFonts w:ascii="Arial" w:hAnsi="Arial" w:cs="Arial"/>
          <w:color w:val="auto"/>
          <w:sz w:val="20"/>
          <w:lang w:eastAsia="en-GB"/>
        </w:rPr>
        <w:t xml:space="preserve">4641 </w:t>
      </w:r>
      <w:r w:rsidRPr="005E5814">
        <w:rPr>
          <w:rFonts w:ascii="Arial" w:hAnsi="Arial" w:cs="Arial"/>
          <w:color w:val="auto"/>
          <w:sz w:val="20"/>
          <w:lang w:eastAsia="en-GB"/>
        </w:rPr>
        <w:t xml:space="preserve">dated </w:t>
      </w:r>
      <w:r w:rsidR="00CB1DE4">
        <w:rPr>
          <w:rFonts w:ascii="Arial" w:hAnsi="Arial" w:cs="Arial"/>
          <w:color w:val="auto"/>
          <w:sz w:val="20"/>
          <w:lang w:eastAsia="en-GB"/>
        </w:rPr>
        <w:t>30</w:t>
      </w:r>
      <w:r>
        <w:rPr>
          <w:rFonts w:ascii="Arial" w:hAnsi="Arial" w:cs="Arial"/>
          <w:color w:val="auto"/>
          <w:sz w:val="20"/>
          <w:lang w:eastAsia="en-GB"/>
        </w:rPr>
        <w:t xml:space="preserve"> November</w:t>
      </w:r>
      <w:r w:rsidRPr="005E5814">
        <w:rPr>
          <w:rFonts w:ascii="Arial" w:hAnsi="Arial" w:cs="Arial"/>
          <w:color w:val="auto"/>
          <w:sz w:val="20"/>
          <w:lang w:eastAsia="en-GB"/>
        </w:rPr>
        <w:t xml:space="preserve"> 20</w:t>
      </w:r>
      <w:r>
        <w:rPr>
          <w:rFonts w:ascii="Arial" w:hAnsi="Arial" w:cs="Arial"/>
          <w:color w:val="auto"/>
          <w:sz w:val="20"/>
          <w:lang w:eastAsia="en-GB"/>
        </w:rPr>
        <w:t>12</w:t>
      </w:r>
      <w:r w:rsidRPr="005E5814">
        <w:rPr>
          <w:rFonts w:ascii="Arial" w:hAnsi="Arial" w:cs="Arial"/>
          <w:color w:val="auto"/>
          <w:sz w:val="20"/>
          <w:lang w:eastAsia="en-GB"/>
        </w:rPr>
        <w:t xml:space="preserve"> entitled “20</w:t>
      </w:r>
      <w:r>
        <w:rPr>
          <w:rFonts w:ascii="Arial" w:hAnsi="Arial" w:cs="Arial"/>
          <w:color w:val="auto"/>
          <w:sz w:val="20"/>
          <w:lang w:eastAsia="en-GB"/>
        </w:rPr>
        <w:t>12</w:t>
      </w:r>
      <w:r w:rsidRPr="005E5814">
        <w:rPr>
          <w:rFonts w:ascii="Arial" w:hAnsi="Arial" w:cs="Arial"/>
          <w:color w:val="auto"/>
          <w:sz w:val="20"/>
          <w:lang w:eastAsia="en-GB"/>
        </w:rPr>
        <w:t xml:space="preserve"> year end returns” (“the </w:t>
      </w:r>
      <w:r>
        <w:rPr>
          <w:rFonts w:ascii="Arial" w:hAnsi="Arial" w:cs="Arial"/>
          <w:color w:val="auto"/>
          <w:sz w:val="20"/>
          <w:lang w:eastAsia="en-GB"/>
        </w:rPr>
        <w:t>I</w:t>
      </w:r>
      <w:r w:rsidRPr="005E5814">
        <w:rPr>
          <w:rFonts w:ascii="Arial" w:hAnsi="Arial" w:cs="Arial"/>
          <w:color w:val="auto"/>
          <w:sz w:val="20"/>
          <w:lang w:eastAsia="en-GB"/>
        </w:rPr>
        <w:t>nstructions”)</w:t>
      </w:r>
      <w:r>
        <w:rPr>
          <w:rFonts w:ascii="Arial" w:hAnsi="Arial" w:cs="Arial"/>
          <w:color w:val="auto"/>
          <w:sz w:val="20"/>
          <w:lang w:eastAsia="en-GB"/>
        </w:rPr>
        <w:t>,</w:t>
      </w:r>
      <w:r w:rsidRPr="0027792F">
        <w:rPr>
          <w:rFonts w:ascii="Arial" w:hAnsi="Arial" w:cs="Arial"/>
          <w:sz w:val="20"/>
          <w:lang w:eastAsia="en-GB"/>
        </w:rPr>
        <w:t xml:space="preserve"> prepared by the managing agent pursuant to the provisions of the </w:t>
      </w:r>
      <w:r>
        <w:rPr>
          <w:rFonts w:ascii="Arial" w:hAnsi="Arial" w:cs="Arial"/>
          <w:sz w:val="20"/>
          <w:lang w:eastAsia="en-GB"/>
        </w:rPr>
        <w:t>Solvency and Reporting Byelaw</w:t>
      </w:r>
      <w:r w:rsidRPr="0027792F">
        <w:rPr>
          <w:rFonts w:ascii="Arial" w:hAnsi="Arial" w:cs="Arial"/>
          <w:sz w:val="20"/>
          <w:lang w:eastAsia="en-GB"/>
        </w:rPr>
        <w:t xml:space="preserve"> (No</w:t>
      </w:r>
      <w:r>
        <w:rPr>
          <w:rFonts w:ascii="Arial" w:hAnsi="Arial" w:cs="Arial"/>
          <w:sz w:val="20"/>
          <w:lang w:eastAsia="en-GB"/>
        </w:rPr>
        <w:t>.5</w:t>
      </w:r>
      <w:r w:rsidRPr="0027792F">
        <w:rPr>
          <w:rFonts w:ascii="Arial" w:hAnsi="Arial" w:cs="Arial"/>
          <w:sz w:val="20"/>
          <w:lang w:eastAsia="en-GB"/>
        </w:rPr>
        <w:t xml:space="preserve"> of </w:t>
      </w:r>
      <w:r>
        <w:rPr>
          <w:rFonts w:ascii="Arial" w:hAnsi="Arial" w:cs="Arial"/>
          <w:sz w:val="20"/>
          <w:lang w:eastAsia="en-GB"/>
        </w:rPr>
        <w:t>2007</w:t>
      </w:r>
      <w:r w:rsidRPr="0027792F">
        <w:rPr>
          <w:rFonts w:ascii="Arial" w:hAnsi="Arial" w:cs="Arial"/>
          <w:sz w:val="20"/>
          <w:lang w:eastAsia="en-GB"/>
        </w:rPr>
        <w:t xml:space="preserve">) (“the Byelaw”) and the requirements referred to by Lloyd’s in </w:t>
      </w:r>
      <w:r w:rsidRPr="005E5814">
        <w:rPr>
          <w:rFonts w:ascii="Arial" w:hAnsi="Arial" w:cs="Arial"/>
          <w:color w:val="auto"/>
          <w:sz w:val="20"/>
          <w:lang w:eastAsia="en-GB"/>
        </w:rPr>
        <w:t xml:space="preserve">the </w:t>
      </w:r>
      <w:r>
        <w:rPr>
          <w:rFonts w:ascii="Arial" w:hAnsi="Arial" w:cs="Arial"/>
          <w:color w:val="auto"/>
          <w:sz w:val="20"/>
          <w:lang w:eastAsia="en-GB"/>
        </w:rPr>
        <w:t>I</w:t>
      </w:r>
      <w:r w:rsidRPr="005E5814">
        <w:rPr>
          <w:rFonts w:ascii="Arial" w:hAnsi="Arial" w:cs="Arial"/>
          <w:color w:val="auto"/>
          <w:sz w:val="20"/>
          <w:lang w:eastAsia="en-GB"/>
        </w:rPr>
        <w:t>nstructions.</w:t>
      </w:r>
    </w:p>
    <w:p w14:paraId="3394F557" w14:textId="77777777" w:rsidR="00500925" w:rsidRPr="0027792F" w:rsidRDefault="00500925" w:rsidP="00500925">
      <w:pPr>
        <w:pStyle w:val="BodyText"/>
        <w:jc w:val="both"/>
        <w:rPr>
          <w:rFonts w:ascii="Arial" w:hAnsi="Arial" w:cs="Arial"/>
          <w:sz w:val="20"/>
          <w:lang w:eastAsia="en-GB"/>
        </w:rPr>
      </w:pPr>
    </w:p>
    <w:p w14:paraId="7494D528" w14:textId="77777777" w:rsidR="00500925" w:rsidRPr="0027792F" w:rsidRDefault="00500925" w:rsidP="00500925">
      <w:pPr>
        <w:pStyle w:val="BodyText"/>
        <w:jc w:val="both"/>
        <w:rPr>
          <w:rFonts w:ascii="Arial" w:hAnsi="Arial" w:cs="Arial"/>
          <w:sz w:val="20"/>
          <w:lang w:eastAsia="en-GB"/>
        </w:rPr>
      </w:pPr>
      <w:r w:rsidRPr="0027792F">
        <w:rPr>
          <w:rFonts w:ascii="Arial" w:hAnsi="Arial" w:cs="Arial"/>
          <w:sz w:val="20"/>
          <w:lang w:eastAsia="en-GB"/>
        </w:rPr>
        <w:t>This report is made solely to the addressees in accordance with the Instructions. Our work has been undertaken so that we might state to the addressees of this report those matters which we are required to state in this report by the Instructions and for no other purpose. To the fullest extent permitted by law, we do not accept or assume any responsibility to anyone other than the addressees of this report, for our work, for this report, or for the opinions we have formed.</w:t>
      </w:r>
    </w:p>
    <w:p w14:paraId="0CC25579" w14:textId="77777777" w:rsidR="00500925" w:rsidRPr="0045427A" w:rsidRDefault="00500925" w:rsidP="00500925">
      <w:pPr>
        <w:pStyle w:val="Heading2"/>
        <w:numPr>
          <w:ilvl w:val="0"/>
          <w:numId w:val="0"/>
        </w:numPr>
        <w:jc w:val="both"/>
        <w:rPr>
          <w:rFonts w:cs="Arial"/>
          <w:b/>
          <w:sz w:val="20"/>
          <w:lang w:eastAsia="en-GB"/>
        </w:rPr>
      </w:pPr>
      <w:r w:rsidRPr="0045427A">
        <w:rPr>
          <w:rFonts w:cs="Arial"/>
          <w:b/>
          <w:sz w:val="20"/>
          <w:lang w:eastAsia="en-GB"/>
        </w:rPr>
        <w:t xml:space="preserve">Respective responsibilities of the </w:t>
      </w:r>
      <w:r>
        <w:rPr>
          <w:rFonts w:cs="Arial"/>
          <w:b/>
          <w:sz w:val="20"/>
          <w:lang w:eastAsia="en-GB"/>
        </w:rPr>
        <w:t>M</w:t>
      </w:r>
      <w:r w:rsidRPr="0045427A">
        <w:rPr>
          <w:rFonts w:cs="Arial"/>
          <w:b/>
          <w:sz w:val="20"/>
          <w:lang w:eastAsia="en-GB"/>
        </w:rPr>
        <w:t xml:space="preserve">anaging </w:t>
      </w:r>
      <w:r>
        <w:rPr>
          <w:rFonts w:cs="Arial"/>
          <w:b/>
          <w:sz w:val="20"/>
          <w:lang w:eastAsia="en-GB"/>
        </w:rPr>
        <w:t>A</w:t>
      </w:r>
      <w:r w:rsidRPr="0045427A">
        <w:rPr>
          <w:rFonts w:cs="Arial"/>
          <w:b/>
          <w:sz w:val="20"/>
          <w:lang w:eastAsia="en-GB"/>
        </w:rPr>
        <w:t>gent and the syndicate’s auditors</w:t>
      </w:r>
    </w:p>
    <w:p w14:paraId="1655B2D7" w14:textId="77777777" w:rsidR="00500925" w:rsidRPr="0027792F" w:rsidRDefault="00500925" w:rsidP="00500925">
      <w:pPr>
        <w:pStyle w:val="BodyText"/>
        <w:jc w:val="both"/>
        <w:rPr>
          <w:rFonts w:ascii="Arial" w:hAnsi="Arial" w:cs="Arial"/>
          <w:sz w:val="20"/>
          <w:lang w:eastAsia="en-GB"/>
        </w:rPr>
      </w:pPr>
    </w:p>
    <w:p w14:paraId="70BA9833" w14:textId="77777777" w:rsidR="00500925" w:rsidRPr="0027792F" w:rsidRDefault="00500925" w:rsidP="00500925">
      <w:pPr>
        <w:pStyle w:val="BodyText"/>
        <w:jc w:val="both"/>
        <w:rPr>
          <w:rFonts w:ascii="Arial" w:hAnsi="Arial" w:cs="Arial"/>
          <w:sz w:val="20"/>
          <w:lang w:eastAsia="en-GB"/>
        </w:rPr>
      </w:pPr>
      <w:r w:rsidRPr="0027792F">
        <w:rPr>
          <w:rFonts w:ascii="Arial" w:hAnsi="Arial" w:cs="Arial"/>
          <w:sz w:val="20"/>
          <w:lang w:eastAsia="en-GB"/>
        </w:rPr>
        <w:t>The managing agent is responsible for:</w:t>
      </w:r>
    </w:p>
    <w:p w14:paraId="416DE246" w14:textId="77777777" w:rsidR="00500925" w:rsidRPr="0027792F" w:rsidRDefault="00500925" w:rsidP="00500925">
      <w:pPr>
        <w:pStyle w:val="BodyText"/>
        <w:numPr>
          <w:ilvl w:val="0"/>
          <w:numId w:val="41"/>
        </w:numPr>
        <w:overflowPunct w:val="0"/>
        <w:autoSpaceDE w:val="0"/>
        <w:autoSpaceDN w:val="0"/>
        <w:adjustRightInd w:val="0"/>
        <w:spacing w:before="80" w:after="120" w:line="260" w:lineRule="atLeast"/>
        <w:jc w:val="both"/>
        <w:textAlignment w:val="baseline"/>
        <w:rPr>
          <w:rFonts w:ascii="Arial" w:hAnsi="Arial" w:cs="Arial"/>
          <w:sz w:val="20"/>
          <w:lang w:eastAsia="en-GB"/>
        </w:rPr>
      </w:pPr>
      <w:r w:rsidRPr="0027792F">
        <w:rPr>
          <w:rFonts w:ascii="Arial" w:hAnsi="Arial" w:cs="Arial"/>
          <w:sz w:val="20"/>
          <w:lang w:eastAsia="en-GB"/>
        </w:rPr>
        <w:t>establishing and maintaining systems and procedures which are adequate to enable it to comply with the provisions of the Byelaw,</w:t>
      </w:r>
      <w:r w:rsidR="00E62248">
        <w:rPr>
          <w:rFonts w:ascii="Arial" w:hAnsi="Arial" w:cs="Arial"/>
          <w:sz w:val="20"/>
          <w:lang w:eastAsia="en-GB"/>
        </w:rPr>
        <w:t xml:space="preserve"> and</w:t>
      </w:r>
    </w:p>
    <w:p w14:paraId="2F8E7A1D" w14:textId="1299126D" w:rsidR="00500925" w:rsidRPr="0027792F" w:rsidRDefault="00500925" w:rsidP="00500925">
      <w:pPr>
        <w:pStyle w:val="BodyText"/>
        <w:numPr>
          <w:ilvl w:val="0"/>
          <w:numId w:val="41"/>
        </w:numPr>
        <w:overflowPunct w:val="0"/>
        <w:autoSpaceDE w:val="0"/>
        <w:autoSpaceDN w:val="0"/>
        <w:adjustRightInd w:val="0"/>
        <w:spacing w:before="80" w:after="120" w:line="260" w:lineRule="atLeast"/>
        <w:jc w:val="both"/>
        <w:textAlignment w:val="baseline"/>
        <w:rPr>
          <w:rFonts w:ascii="Arial" w:hAnsi="Arial" w:cs="Arial"/>
          <w:sz w:val="20"/>
          <w:lang w:eastAsia="en-GB"/>
        </w:rPr>
      </w:pPr>
      <w:r w:rsidRPr="0027792F">
        <w:rPr>
          <w:rFonts w:ascii="Arial" w:hAnsi="Arial" w:cs="Arial"/>
          <w:sz w:val="20"/>
          <w:lang w:eastAsia="en-GB"/>
        </w:rPr>
        <w:t>prepar</w:t>
      </w:r>
      <w:r w:rsidR="0041667F">
        <w:rPr>
          <w:rFonts w:ascii="Arial" w:hAnsi="Arial" w:cs="Arial"/>
          <w:sz w:val="20"/>
          <w:lang w:eastAsia="en-GB"/>
        </w:rPr>
        <w:t xml:space="preserve">ing </w:t>
      </w:r>
      <w:r w:rsidRPr="0027792F">
        <w:rPr>
          <w:rFonts w:ascii="Arial" w:hAnsi="Arial" w:cs="Arial"/>
          <w:sz w:val="20"/>
          <w:lang w:eastAsia="en-GB"/>
        </w:rPr>
        <w:t xml:space="preserve">the </w:t>
      </w:r>
      <w:r w:rsidR="00775E09">
        <w:rPr>
          <w:rFonts w:ascii="Arial" w:hAnsi="Arial" w:cs="Arial"/>
          <w:sz w:val="20"/>
          <w:lang w:eastAsia="en-GB"/>
        </w:rPr>
        <w:t>QMC</w:t>
      </w:r>
      <w:r w:rsidRPr="0027792F">
        <w:rPr>
          <w:rFonts w:ascii="Arial" w:hAnsi="Arial" w:cs="Arial"/>
          <w:sz w:val="20"/>
          <w:lang w:eastAsia="en-GB"/>
        </w:rPr>
        <w:t xml:space="preserve"> </w:t>
      </w:r>
      <w:r w:rsidR="0041667F">
        <w:rPr>
          <w:rFonts w:ascii="Arial" w:hAnsi="Arial" w:cs="Arial"/>
          <w:sz w:val="20"/>
          <w:lang w:eastAsia="en-GB"/>
        </w:rPr>
        <w:t xml:space="preserve">in order that it fairly states the information provided on the basis required by </w:t>
      </w:r>
      <w:r w:rsidRPr="0027792F">
        <w:rPr>
          <w:rFonts w:ascii="Arial" w:hAnsi="Arial" w:cs="Arial"/>
          <w:sz w:val="20"/>
          <w:lang w:eastAsia="en-GB"/>
        </w:rPr>
        <w:t>the Instructions</w:t>
      </w:r>
      <w:r w:rsidR="005F3355">
        <w:rPr>
          <w:rFonts w:ascii="Arial" w:hAnsi="Arial" w:cs="Arial"/>
          <w:sz w:val="20"/>
          <w:lang w:eastAsia="en-GB"/>
        </w:rPr>
        <w:t xml:space="preserve"> a</w:t>
      </w:r>
      <w:r w:rsidR="0041667F">
        <w:rPr>
          <w:rFonts w:ascii="Arial" w:hAnsi="Arial" w:cs="Arial"/>
          <w:sz w:val="20"/>
          <w:lang w:eastAsia="en-GB"/>
        </w:rPr>
        <w:t xml:space="preserve">nd </w:t>
      </w:r>
      <w:r w:rsidR="00B03EF3">
        <w:rPr>
          <w:rFonts w:ascii="Arial" w:hAnsi="Arial" w:cs="Arial"/>
          <w:sz w:val="20"/>
          <w:lang w:eastAsia="en-GB"/>
        </w:rPr>
        <w:t>is</w:t>
      </w:r>
      <w:r w:rsidR="0041667F">
        <w:rPr>
          <w:rFonts w:ascii="Arial" w:hAnsi="Arial" w:cs="Arial"/>
          <w:sz w:val="20"/>
          <w:lang w:eastAsia="en-GB"/>
        </w:rPr>
        <w:t xml:space="preserve"> properly prepared in accordance with the Instructions.</w:t>
      </w:r>
    </w:p>
    <w:p w14:paraId="07EF667B" w14:textId="1564A8CE" w:rsidR="00500925" w:rsidRPr="00165B77" w:rsidRDefault="00500925" w:rsidP="00500925">
      <w:pPr>
        <w:pStyle w:val="BodyText"/>
        <w:jc w:val="both"/>
        <w:rPr>
          <w:rFonts w:ascii="Arial" w:hAnsi="Arial" w:cs="Arial"/>
          <w:sz w:val="20"/>
          <w:lang w:eastAsia="en-GB"/>
        </w:rPr>
      </w:pPr>
      <w:r w:rsidRPr="00165B77">
        <w:rPr>
          <w:rFonts w:ascii="Arial" w:hAnsi="Arial" w:cs="Arial"/>
          <w:sz w:val="20"/>
          <w:lang w:eastAsia="en-GB"/>
        </w:rPr>
        <w:t>It is our responsibility, under Lloyd’s Byelaws and requirements, to form an independent opinion on whether</w:t>
      </w:r>
      <w:r w:rsidR="00F2606B">
        <w:rPr>
          <w:rFonts w:ascii="Arial" w:hAnsi="Arial" w:cs="Arial"/>
          <w:sz w:val="20"/>
          <w:lang w:eastAsia="en-GB"/>
        </w:rPr>
        <w:t>, in all material respects,</w:t>
      </w:r>
      <w:r w:rsidRPr="00165B77">
        <w:rPr>
          <w:rFonts w:ascii="Arial" w:hAnsi="Arial" w:cs="Arial"/>
          <w:sz w:val="20"/>
          <w:lang w:eastAsia="en-GB"/>
        </w:rPr>
        <w:t xml:space="preserve"> those systems and procedures were adequate, </w:t>
      </w:r>
      <w:r w:rsidR="0041667F">
        <w:rPr>
          <w:rFonts w:ascii="Arial" w:hAnsi="Arial" w:cs="Arial"/>
          <w:sz w:val="20"/>
          <w:lang w:eastAsia="en-GB"/>
        </w:rPr>
        <w:t xml:space="preserve">and </w:t>
      </w:r>
      <w:r w:rsidRPr="00165B77">
        <w:rPr>
          <w:rFonts w:ascii="Arial" w:hAnsi="Arial" w:cs="Arial"/>
          <w:sz w:val="20"/>
          <w:lang w:eastAsia="en-GB"/>
        </w:rPr>
        <w:t xml:space="preserve">whether the </w:t>
      </w:r>
      <w:r w:rsidR="00775E09">
        <w:rPr>
          <w:rFonts w:ascii="Arial" w:hAnsi="Arial" w:cs="Arial"/>
          <w:sz w:val="20"/>
          <w:lang w:eastAsia="en-GB"/>
        </w:rPr>
        <w:t>QMC</w:t>
      </w:r>
      <w:r w:rsidRPr="00165B77">
        <w:rPr>
          <w:rFonts w:ascii="Arial" w:hAnsi="Arial" w:cs="Arial"/>
          <w:sz w:val="20"/>
          <w:lang w:eastAsia="en-GB"/>
        </w:rPr>
        <w:t xml:space="preserve"> fairly states the information provided on the basis required by the Instructions and has been properly prepared in accordance with the Instructions, and to report our opinion to you.</w:t>
      </w:r>
    </w:p>
    <w:p w14:paraId="063B3C27" w14:textId="77777777" w:rsidR="00500925" w:rsidRPr="0045427A" w:rsidRDefault="00500925" w:rsidP="00500925">
      <w:pPr>
        <w:pStyle w:val="Heading2"/>
        <w:numPr>
          <w:ilvl w:val="0"/>
          <w:numId w:val="0"/>
        </w:numPr>
        <w:jc w:val="both"/>
        <w:rPr>
          <w:rFonts w:cs="Arial"/>
          <w:b/>
          <w:sz w:val="20"/>
          <w:lang w:eastAsia="en-GB"/>
        </w:rPr>
      </w:pPr>
      <w:r w:rsidRPr="0045427A">
        <w:rPr>
          <w:rFonts w:cs="Arial"/>
          <w:b/>
          <w:sz w:val="20"/>
          <w:lang w:eastAsia="en-GB"/>
        </w:rPr>
        <w:t>Basis of opinion</w:t>
      </w:r>
    </w:p>
    <w:p w14:paraId="297F51E0" w14:textId="77777777" w:rsidR="00500925" w:rsidRPr="0027792F" w:rsidRDefault="00500925" w:rsidP="00500925">
      <w:pPr>
        <w:pStyle w:val="BodyText"/>
        <w:jc w:val="both"/>
        <w:rPr>
          <w:rFonts w:ascii="Arial" w:hAnsi="Arial" w:cs="Arial"/>
          <w:sz w:val="20"/>
          <w:lang w:eastAsia="en-GB"/>
        </w:rPr>
      </w:pPr>
    </w:p>
    <w:p w14:paraId="1474D093" w14:textId="54526CF3" w:rsidR="00500925" w:rsidRPr="0027792F" w:rsidRDefault="00500925" w:rsidP="00500925">
      <w:pPr>
        <w:pStyle w:val="BodyText"/>
        <w:jc w:val="both"/>
        <w:rPr>
          <w:rFonts w:ascii="Arial" w:hAnsi="Arial" w:cs="Arial"/>
          <w:sz w:val="20"/>
          <w:lang w:eastAsia="en-GB"/>
        </w:rPr>
      </w:pPr>
      <w:r w:rsidRPr="0027792F">
        <w:rPr>
          <w:rFonts w:ascii="Arial" w:hAnsi="Arial" w:cs="Arial"/>
          <w:sz w:val="20"/>
          <w:lang w:eastAsia="en-GB"/>
        </w:rPr>
        <w:t xml:space="preserve">We conducted our work </w:t>
      </w:r>
      <w:r w:rsidR="00EC40EF">
        <w:rPr>
          <w:rFonts w:ascii="Arial" w:hAnsi="Arial" w:cs="Arial"/>
          <w:sz w:val="20"/>
          <w:lang w:eastAsia="en-GB"/>
        </w:rPr>
        <w:t>having regard to</w:t>
      </w:r>
      <w:r w:rsidRPr="0027792F">
        <w:rPr>
          <w:rFonts w:ascii="Arial" w:hAnsi="Arial" w:cs="Arial"/>
          <w:sz w:val="20"/>
          <w:lang w:eastAsia="en-GB"/>
        </w:rPr>
        <w:t xml:space="preserve"> the relevant sections of Practice Note 20 ‘The audit of insurers in the United Kingdom’ (Revised), issued by the Auditing Practices Board for use in the United Kingdom.</w:t>
      </w:r>
      <w:r w:rsidRPr="0027792F">
        <w:rPr>
          <w:rFonts w:ascii="Arial" w:hAnsi="Arial" w:cs="Arial"/>
          <w:color w:val="0000FF"/>
          <w:sz w:val="20"/>
          <w:lang w:eastAsia="en-GB"/>
        </w:rPr>
        <w:t xml:space="preserve"> </w:t>
      </w:r>
      <w:r w:rsidRPr="0027792F">
        <w:rPr>
          <w:rFonts w:ascii="Arial" w:hAnsi="Arial" w:cs="Arial"/>
          <w:sz w:val="20"/>
          <w:lang w:eastAsia="en-GB"/>
        </w:rPr>
        <w:t xml:space="preserve"> Our work included examination, on a test basis, of evidence relevant to the </w:t>
      </w:r>
      <w:r w:rsidR="005F11B6">
        <w:rPr>
          <w:rFonts w:ascii="Arial" w:hAnsi="Arial" w:cs="Arial"/>
          <w:sz w:val="20"/>
          <w:lang w:eastAsia="en-GB"/>
        </w:rPr>
        <w:t xml:space="preserve">systems and procedures for compliance with the provisions of the Byelaw and the </w:t>
      </w:r>
      <w:r w:rsidRPr="0027792F">
        <w:rPr>
          <w:rFonts w:ascii="Arial" w:hAnsi="Arial" w:cs="Arial"/>
          <w:sz w:val="20"/>
          <w:lang w:eastAsia="en-GB"/>
        </w:rPr>
        <w:t xml:space="preserve">amounts and disclosures in the </w:t>
      </w:r>
      <w:r w:rsidR="000656A4">
        <w:rPr>
          <w:rFonts w:ascii="Arial" w:hAnsi="Arial" w:cs="Arial"/>
          <w:sz w:val="20"/>
          <w:lang w:eastAsia="en-GB"/>
        </w:rPr>
        <w:t>QMC</w:t>
      </w:r>
      <w:r w:rsidRPr="0027792F">
        <w:rPr>
          <w:rFonts w:ascii="Arial" w:hAnsi="Arial" w:cs="Arial"/>
          <w:sz w:val="20"/>
          <w:lang w:eastAsia="en-GB"/>
        </w:rPr>
        <w:t>. The evidence included that obtained by us relating to the audit of the financial statements of the syndicate for the year. It also included an assessment of the significant estimates and judgements made by the managing agent in</w:t>
      </w:r>
      <w:r>
        <w:rPr>
          <w:rFonts w:ascii="Arial" w:hAnsi="Arial" w:cs="Arial"/>
          <w:sz w:val="20"/>
          <w:lang w:eastAsia="en-GB"/>
        </w:rPr>
        <w:t xml:space="preserve"> the preparation of the </w:t>
      </w:r>
      <w:r w:rsidR="006F68BE">
        <w:rPr>
          <w:rFonts w:ascii="Arial" w:hAnsi="Arial" w:cs="Arial"/>
          <w:sz w:val="20"/>
          <w:lang w:eastAsia="en-GB"/>
        </w:rPr>
        <w:t>QMC</w:t>
      </w:r>
      <w:r w:rsidR="00D418B6">
        <w:rPr>
          <w:rFonts w:ascii="Arial" w:hAnsi="Arial" w:cs="Arial"/>
          <w:sz w:val="20"/>
          <w:lang w:eastAsia="en-GB"/>
        </w:rPr>
        <w:t xml:space="preserve"> and of whether the accounting policies </w:t>
      </w:r>
      <w:r w:rsidR="00EC40EF">
        <w:rPr>
          <w:rFonts w:ascii="Arial" w:hAnsi="Arial" w:cs="Arial"/>
          <w:sz w:val="20"/>
          <w:lang w:eastAsia="en-GB"/>
        </w:rPr>
        <w:t xml:space="preserve">as modified by the Instructions </w:t>
      </w:r>
      <w:r w:rsidR="00D418B6">
        <w:rPr>
          <w:rFonts w:ascii="Arial" w:hAnsi="Arial" w:cs="Arial"/>
          <w:sz w:val="20"/>
          <w:lang w:eastAsia="en-GB"/>
        </w:rPr>
        <w:t>are appropriate to the syndicate’s circumstances and consistently applied.</w:t>
      </w:r>
    </w:p>
    <w:p w14:paraId="607254D8" w14:textId="77777777" w:rsidR="00500925" w:rsidRDefault="00500925" w:rsidP="00500925">
      <w:pPr>
        <w:pStyle w:val="BodyText"/>
        <w:jc w:val="both"/>
        <w:rPr>
          <w:rFonts w:ascii="Arial" w:hAnsi="Arial" w:cs="Arial"/>
          <w:sz w:val="20"/>
          <w:lang w:eastAsia="en-GB"/>
        </w:rPr>
      </w:pPr>
    </w:p>
    <w:p w14:paraId="1D2DBA36" w14:textId="44B0FF38" w:rsidR="00500925" w:rsidRDefault="00500925" w:rsidP="00500925">
      <w:pPr>
        <w:pStyle w:val="BodyText"/>
        <w:jc w:val="both"/>
        <w:rPr>
          <w:rFonts w:ascii="Arial" w:hAnsi="Arial" w:cs="Arial"/>
          <w:sz w:val="20"/>
          <w:lang w:eastAsia="en-GB"/>
        </w:rPr>
      </w:pPr>
      <w:r w:rsidRPr="0027792F">
        <w:rPr>
          <w:rFonts w:ascii="Arial" w:hAnsi="Arial" w:cs="Arial"/>
          <w:sz w:val="20"/>
          <w:lang w:eastAsia="en-GB"/>
        </w:rPr>
        <w:t>We planned and performed our work so as to obtain all the information and explanations that we considered necessary in order to provide us with sufficient evidence to give reasonable assurance that</w:t>
      </w:r>
      <w:r w:rsidR="00F2606B">
        <w:rPr>
          <w:rFonts w:ascii="Arial" w:hAnsi="Arial" w:cs="Arial"/>
          <w:sz w:val="20"/>
          <w:lang w:eastAsia="en-GB"/>
        </w:rPr>
        <w:t>, in all material respects,</w:t>
      </w:r>
      <w:r w:rsidRPr="0027792F">
        <w:rPr>
          <w:rFonts w:ascii="Arial" w:hAnsi="Arial" w:cs="Arial"/>
          <w:sz w:val="20"/>
          <w:lang w:eastAsia="en-GB"/>
        </w:rPr>
        <w:t xml:space="preserve"> systems and procedures in operation during the year were adequate to enable the managing agent to comply with the Instructions, </w:t>
      </w:r>
      <w:r w:rsidR="0041667F">
        <w:rPr>
          <w:rFonts w:ascii="Arial" w:hAnsi="Arial" w:cs="Arial"/>
          <w:sz w:val="20"/>
          <w:lang w:eastAsia="en-GB"/>
        </w:rPr>
        <w:t xml:space="preserve">and </w:t>
      </w:r>
      <w:r w:rsidRPr="0027792F">
        <w:rPr>
          <w:rFonts w:ascii="Arial" w:hAnsi="Arial" w:cs="Arial"/>
          <w:sz w:val="20"/>
          <w:lang w:eastAsia="en-GB"/>
        </w:rPr>
        <w:t xml:space="preserve">that the </w:t>
      </w:r>
      <w:r w:rsidR="008F6818">
        <w:rPr>
          <w:rFonts w:ascii="Arial" w:hAnsi="Arial" w:cs="Arial"/>
          <w:sz w:val="20"/>
          <w:lang w:eastAsia="en-GB"/>
        </w:rPr>
        <w:t>QMC</w:t>
      </w:r>
      <w:r w:rsidRPr="0027792F">
        <w:rPr>
          <w:rFonts w:ascii="Arial" w:hAnsi="Arial" w:cs="Arial"/>
          <w:sz w:val="20"/>
          <w:lang w:eastAsia="en-GB"/>
        </w:rPr>
        <w:t xml:space="preserve"> </w:t>
      </w:r>
      <w:r w:rsidR="0041667F">
        <w:rPr>
          <w:rFonts w:ascii="Arial" w:hAnsi="Arial" w:cs="Arial"/>
          <w:sz w:val="20"/>
          <w:lang w:eastAsia="en-GB"/>
        </w:rPr>
        <w:t xml:space="preserve">fairly states the information provided on the basis required by the Instructions and </w:t>
      </w:r>
      <w:r w:rsidRPr="0027792F">
        <w:rPr>
          <w:rFonts w:ascii="Arial" w:hAnsi="Arial" w:cs="Arial"/>
          <w:sz w:val="20"/>
          <w:lang w:eastAsia="en-GB"/>
        </w:rPr>
        <w:t>has been properly prepared in accordance with the Instructions.</w:t>
      </w:r>
    </w:p>
    <w:p w14:paraId="7E4D77FD" w14:textId="77777777" w:rsidR="008F6818" w:rsidRDefault="008F6818" w:rsidP="00500925">
      <w:pPr>
        <w:pStyle w:val="BodyText"/>
        <w:jc w:val="both"/>
        <w:rPr>
          <w:rFonts w:ascii="Arial" w:hAnsi="Arial" w:cs="Arial"/>
          <w:sz w:val="20"/>
          <w:lang w:eastAsia="en-GB"/>
        </w:rPr>
      </w:pPr>
    </w:p>
    <w:p w14:paraId="7D0124F6" w14:textId="774275F6" w:rsidR="008F6818" w:rsidRPr="004717D6" w:rsidRDefault="00D418B6" w:rsidP="008F6818">
      <w:pPr>
        <w:pStyle w:val="BodyText"/>
        <w:rPr>
          <w:rFonts w:ascii="Arial" w:hAnsi="Arial" w:cs="Arial"/>
          <w:color w:val="auto"/>
          <w:sz w:val="20"/>
          <w:lang w:eastAsia="en-GB"/>
        </w:rPr>
      </w:pPr>
      <w:r w:rsidRPr="004717D6">
        <w:rPr>
          <w:rFonts w:ascii="Arial" w:hAnsi="Arial" w:cs="Arial"/>
          <w:color w:val="auto"/>
          <w:sz w:val="20"/>
          <w:lang w:eastAsia="en-GB"/>
        </w:rPr>
        <w:lastRenderedPageBreak/>
        <w:t xml:space="preserve">In accordance with the Instructions, we have not </w:t>
      </w:r>
      <w:r w:rsidR="00CE4BA6" w:rsidRPr="004717D6">
        <w:rPr>
          <w:rFonts w:ascii="Arial" w:hAnsi="Arial" w:cs="Arial"/>
          <w:color w:val="auto"/>
          <w:sz w:val="20"/>
          <w:lang w:eastAsia="en-GB"/>
        </w:rPr>
        <w:t>examined</w:t>
      </w:r>
      <w:r w:rsidRPr="004717D6">
        <w:rPr>
          <w:rFonts w:ascii="Arial" w:hAnsi="Arial" w:cs="Arial"/>
          <w:color w:val="auto"/>
          <w:sz w:val="20"/>
          <w:lang w:eastAsia="en-GB"/>
        </w:rPr>
        <w:t xml:space="preserve"> the calculation of the Solvency Capital Requirement (SCR),</w:t>
      </w:r>
      <w:r w:rsidR="002B6FB6">
        <w:rPr>
          <w:rFonts w:ascii="Arial" w:hAnsi="Arial" w:cs="Arial"/>
          <w:color w:val="auto"/>
          <w:sz w:val="20"/>
          <w:lang w:eastAsia="en-GB"/>
        </w:rPr>
        <w:t xml:space="preserve"> </w:t>
      </w:r>
      <w:r w:rsidRPr="004717D6">
        <w:rPr>
          <w:rFonts w:ascii="Arial" w:hAnsi="Arial" w:cs="Arial"/>
          <w:color w:val="auto"/>
          <w:sz w:val="20"/>
        </w:rPr>
        <w:t xml:space="preserve">which is used to derive the risk </w:t>
      </w:r>
      <w:r w:rsidRPr="003D4CDC">
        <w:rPr>
          <w:rFonts w:ascii="Arial" w:hAnsi="Arial" w:cs="Arial"/>
          <w:sz w:val="20"/>
          <w:lang w:eastAsia="en-GB"/>
        </w:rPr>
        <w:t>margin</w:t>
      </w:r>
      <w:r w:rsidR="00345D2E" w:rsidRPr="003D4CDC">
        <w:rPr>
          <w:rFonts w:ascii="Arial" w:hAnsi="Arial" w:cs="Arial"/>
          <w:sz w:val="20"/>
          <w:lang w:eastAsia="en-GB"/>
        </w:rPr>
        <w:t>, or the risk margin itself</w:t>
      </w:r>
      <w:r w:rsidRPr="003D4CDC">
        <w:rPr>
          <w:rFonts w:ascii="Arial" w:hAnsi="Arial" w:cs="Arial"/>
          <w:sz w:val="20"/>
          <w:lang w:eastAsia="en-GB"/>
        </w:rPr>
        <w:t>.</w:t>
      </w:r>
      <w:r w:rsidRPr="004717D6">
        <w:rPr>
          <w:rFonts w:ascii="Arial" w:hAnsi="Arial" w:cs="Arial"/>
          <w:color w:val="auto"/>
          <w:sz w:val="20"/>
        </w:rPr>
        <w:t xml:space="preserve"> </w:t>
      </w:r>
    </w:p>
    <w:p w14:paraId="2FF3DB8B" w14:textId="77777777" w:rsidR="008F6818" w:rsidRPr="0027792F" w:rsidRDefault="008F6818" w:rsidP="00500925">
      <w:pPr>
        <w:pStyle w:val="BodyText"/>
        <w:jc w:val="both"/>
        <w:rPr>
          <w:rFonts w:ascii="Arial" w:hAnsi="Arial" w:cs="Arial"/>
          <w:sz w:val="20"/>
          <w:lang w:eastAsia="en-GB"/>
        </w:rPr>
      </w:pPr>
    </w:p>
    <w:p w14:paraId="393A25CF" w14:textId="77777777" w:rsidR="00500925" w:rsidRPr="0027792F" w:rsidRDefault="00500925" w:rsidP="00500925">
      <w:pPr>
        <w:pStyle w:val="Heading1"/>
        <w:numPr>
          <w:ilvl w:val="0"/>
          <w:numId w:val="0"/>
        </w:numPr>
        <w:jc w:val="both"/>
        <w:rPr>
          <w:rFonts w:cs="Arial"/>
          <w:sz w:val="20"/>
          <w:lang w:eastAsia="en-GB"/>
        </w:rPr>
      </w:pPr>
      <w:r w:rsidRPr="0027792F">
        <w:rPr>
          <w:rFonts w:cs="Arial"/>
          <w:sz w:val="20"/>
          <w:lang w:eastAsia="en-GB"/>
        </w:rPr>
        <w:t>Opinion</w:t>
      </w:r>
    </w:p>
    <w:p w14:paraId="06C94687" w14:textId="77777777" w:rsidR="00500925" w:rsidRPr="0027792F" w:rsidRDefault="00500925" w:rsidP="00500925">
      <w:pPr>
        <w:pStyle w:val="BodyText"/>
        <w:jc w:val="both"/>
        <w:rPr>
          <w:rFonts w:ascii="Arial" w:hAnsi="Arial" w:cs="Arial"/>
          <w:sz w:val="20"/>
          <w:lang w:eastAsia="en-GB"/>
        </w:rPr>
      </w:pPr>
    </w:p>
    <w:p w14:paraId="72A351BA" w14:textId="77777777" w:rsidR="00500925" w:rsidRPr="0027792F" w:rsidRDefault="00500925" w:rsidP="00500925">
      <w:pPr>
        <w:pStyle w:val="BodyText"/>
        <w:jc w:val="both"/>
        <w:rPr>
          <w:rFonts w:ascii="Arial" w:hAnsi="Arial" w:cs="Arial"/>
          <w:sz w:val="20"/>
          <w:lang w:eastAsia="en-GB"/>
        </w:rPr>
      </w:pPr>
      <w:r w:rsidRPr="0027792F">
        <w:rPr>
          <w:rFonts w:ascii="Arial" w:hAnsi="Arial" w:cs="Arial"/>
          <w:sz w:val="20"/>
          <w:lang w:eastAsia="en-GB"/>
        </w:rPr>
        <w:t>In our opinion</w:t>
      </w:r>
      <w:r w:rsidR="002D64C8">
        <w:rPr>
          <w:rFonts w:ascii="Arial" w:hAnsi="Arial" w:cs="Arial"/>
          <w:sz w:val="20"/>
          <w:lang w:eastAsia="en-GB"/>
        </w:rPr>
        <w:t>, in all material respects</w:t>
      </w:r>
      <w:r w:rsidRPr="0027792F">
        <w:rPr>
          <w:rFonts w:ascii="Arial" w:hAnsi="Arial" w:cs="Arial"/>
          <w:sz w:val="20"/>
          <w:lang w:eastAsia="en-GB"/>
        </w:rPr>
        <w:t>:</w:t>
      </w:r>
    </w:p>
    <w:p w14:paraId="7E833E9C" w14:textId="77777777" w:rsidR="00500925" w:rsidRPr="0027792F" w:rsidRDefault="00500925" w:rsidP="00500925">
      <w:pPr>
        <w:pStyle w:val="List"/>
        <w:ind w:left="720" w:hanging="720"/>
        <w:jc w:val="both"/>
        <w:rPr>
          <w:rFonts w:cs="Arial"/>
          <w:sz w:val="20"/>
        </w:rPr>
      </w:pPr>
    </w:p>
    <w:p w14:paraId="0C05D233" w14:textId="053D47D9" w:rsidR="00500925" w:rsidRPr="0027792F" w:rsidRDefault="00500925" w:rsidP="00500925">
      <w:pPr>
        <w:pStyle w:val="List"/>
        <w:ind w:left="720" w:hanging="720"/>
        <w:jc w:val="both"/>
        <w:rPr>
          <w:rFonts w:cs="Arial"/>
          <w:sz w:val="20"/>
        </w:rPr>
      </w:pPr>
      <w:r w:rsidRPr="0027792F">
        <w:rPr>
          <w:rFonts w:cs="Arial"/>
          <w:sz w:val="20"/>
        </w:rPr>
        <w:t>(a)</w:t>
      </w:r>
      <w:r w:rsidRPr="0027792F">
        <w:rPr>
          <w:rFonts w:cs="Arial"/>
          <w:sz w:val="20"/>
        </w:rPr>
        <w:tab/>
        <w:t xml:space="preserve">the systems and procedures in operation during the year were adequate to enable the managing agent to comply with the </w:t>
      </w:r>
      <w:r w:rsidR="004B1DC1">
        <w:rPr>
          <w:rFonts w:cs="Arial"/>
          <w:sz w:val="20"/>
        </w:rPr>
        <w:t>provisions of the Byelaw</w:t>
      </w:r>
      <w:r w:rsidRPr="0027792F">
        <w:rPr>
          <w:rFonts w:cs="Arial"/>
          <w:sz w:val="20"/>
        </w:rPr>
        <w:t>;</w:t>
      </w:r>
      <w:r w:rsidR="00E62248">
        <w:rPr>
          <w:rFonts w:cs="Arial"/>
          <w:sz w:val="20"/>
        </w:rPr>
        <w:t xml:space="preserve"> and</w:t>
      </w:r>
    </w:p>
    <w:p w14:paraId="565D94D1" w14:textId="77777777" w:rsidR="00500925" w:rsidRPr="0027792F" w:rsidRDefault="00500925" w:rsidP="00500925">
      <w:pPr>
        <w:pStyle w:val="List"/>
        <w:ind w:left="720" w:hanging="720"/>
        <w:jc w:val="both"/>
        <w:rPr>
          <w:rFonts w:cs="Arial"/>
          <w:sz w:val="20"/>
        </w:rPr>
      </w:pPr>
      <w:r w:rsidRPr="0027792F">
        <w:rPr>
          <w:rFonts w:cs="Arial"/>
          <w:sz w:val="20"/>
        </w:rPr>
        <w:t>(b)</w:t>
      </w:r>
      <w:r w:rsidRPr="0027792F">
        <w:rPr>
          <w:rFonts w:cs="Arial"/>
          <w:sz w:val="20"/>
        </w:rPr>
        <w:tab/>
        <w:t xml:space="preserve">the </w:t>
      </w:r>
      <w:r w:rsidR="00E62248">
        <w:rPr>
          <w:rFonts w:cs="Arial"/>
          <w:sz w:val="20"/>
        </w:rPr>
        <w:t>QMC</w:t>
      </w:r>
      <w:r w:rsidRPr="0027792F">
        <w:rPr>
          <w:rFonts w:cs="Arial"/>
          <w:sz w:val="20"/>
        </w:rPr>
        <w:t xml:space="preserve"> fairly states</w:t>
      </w:r>
      <w:r w:rsidR="00E34A6B">
        <w:rPr>
          <w:rFonts w:cs="Arial"/>
          <w:sz w:val="20"/>
        </w:rPr>
        <w:t>, for the purposes of the QMC</w:t>
      </w:r>
      <w:bookmarkStart w:id="0" w:name="_GoBack"/>
      <w:bookmarkEnd w:id="0"/>
      <w:r w:rsidR="00E34A6B">
        <w:rPr>
          <w:rFonts w:cs="Arial"/>
          <w:sz w:val="20"/>
        </w:rPr>
        <w:t>,</w:t>
      </w:r>
      <w:r w:rsidRPr="0027792F">
        <w:rPr>
          <w:rFonts w:cs="Arial"/>
          <w:sz w:val="20"/>
        </w:rPr>
        <w:t xml:space="preserve"> the information provided on the basis required by the Instructions and has been properly prepared in accordance with the Instructions.</w:t>
      </w:r>
    </w:p>
    <w:p w14:paraId="5F22E8CB" w14:textId="77777777" w:rsidR="00500925" w:rsidRDefault="00500925" w:rsidP="00500925">
      <w:pPr>
        <w:pStyle w:val="List"/>
        <w:jc w:val="both"/>
        <w:rPr>
          <w:rFonts w:cs="Arial"/>
          <w:sz w:val="20"/>
        </w:rPr>
      </w:pPr>
    </w:p>
    <w:p w14:paraId="5949AFE7" w14:textId="77777777" w:rsidR="00500925" w:rsidRPr="0027792F" w:rsidRDefault="00500925" w:rsidP="00500925">
      <w:pPr>
        <w:pStyle w:val="List"/>
        <w:jc w:val="both"/>
        <w:rPr>
          <w:rFonts w:cs="Arial"/>
          <w:sz w:val="20"/>
        </w:rPr>
      </w:pPr>
    </w:p>
    <w:p w14:paraId="7AEE09EE" w14:textId="77777777" w:rsidR="00500925" w:rsidRPr="0027792F" w:rsidRDefault="00500925" w:rsidP="00500925">
      <w:pPr>
        <w:pStyle w:val="List"/>
        <w:jc w:val="both"/>
        <w:rPr>
          <w:rFonts w:cs="Arial"/>
          <w:sz w:val="20"/>
        </w:rPr>
      </w:pPr>
    </w:p>
    <w:p w14:paraId="18FFE793" w14:textId="77777777" w:rsidR="00500925" w:rsidRPr="0027792F" w:rsidRDefault="00500925" w:rsidP="00500925">
      <w:pPr>
        <w:pStyle w:val="List2"/>
        <w:ind w:hanging="566"/>
        <w:jc w:val="both"/>
        <w:rPr>
          <w:rFonts w:cs="Arial"/>
          <w:sz w:val="20"/>
          <w:lang w:eastAsia="en-GB"/>
        </w:rPr>
      </w:pPr>
      <w:r w:rsidRPr="0027792F">
        <w:rPr>
          <w:rFonts w:cs="Arial"/>
          <w:sz w:val="20"/>
          <w:lang w:eastAsia="en-GB"/>
        </w:rPr>
        <w:t>Registered Auditor</w:t>
      </w:r>
    </w:p>
    <w:p w14:paraId="2C63AC79" w14:textId="77777777" w:rsidR="00500925" w:rsidRPr="0027792F" w:rsidRDefault="00500925" w:rsidP="00500925">
      <w:pPr>
        <w:pStyle w:val="List2"/>
        <w:ind w:hanging="566"/>
        <w:jc w:val="both"/>
        <w:rPr>
          <w:rFonts w:cs="Arial"/>
          <w:sz w:val="20"/>
          <w:lang w:eastAsia="en-GB"/>
        </w:rPr>
      </w:pPr>
      <w:r w:rsidRPr="0027792F">
        <w:rPr>
          <w:rFonts w:cs="Arial"/>
          <w:sz w:val="20"/>
          <w:lang w:eastAsia="en-GB"/>
        </w:rPr>
        <w:t>London</w:t>
      </w:r>
    </w:p>
    <w:p w14:paraId="06DC6F09" w14:textId="77777777" w:rsidR="00500925" w:rsidRDefault="00500925" w:rsidP="00500925">
      <w:pPr>
        <w:pStyle w:val="List2"/>
        <w:ind w:hanging="566"/>
        <w:jc w:val="both"/>
        <w:rPr>
          <w:rFonts w:cs="Arial"/>
          <w:sz w:val="20"/>
          <w:lang w:eastAsia="en-GB"/>
        </w:rPr>
      </w:pPr>
      <w:r w:rsidRPr="0027792F">
        <w:rPr>
          <w:rFonts w:cs="Arial"/>
          <w:sz w:val="20"/>
          <w:lang w:eastAsia="en-GB"/>
        </w:rPr>
        <w:t>Date</w:t>
      </w:r>
    </w:p>
    <w:p w14:paraId="519C4DE9" w14:textId="77777777" w:rsidR="00500925" w:rsidRDefault="00500925" w:rsidP="00500925">
      <w:pPr>
        <w:pStyle w:val="List2"/>
        <w:ind w:hanging="566"/>
        <w:jc w:val="both"/>
        <w:rPr>
          <w:rFonts w:cs="Arial"/>
          <w:sz w:val="20"/>
          <w:lang w:eastAsia="en-GB"/>
        </w:rPr>
      </w:pPr>
    </w:p>
    <w:p w14:paraId="7465D2D6" w14:textId="77777777" w:rsidR="00500925" w:rsidRPr="0027792F" w:rsidRDefault="00500925" w:rsidP="00500925">
      <w:pPr>
        <w:pStyle w:val="List2"/>
        <w:ind w:hanging="566"/>
        <w:jc w:val="both"/>
        <w:rPr>
          <w:rFonts w:cs="Arial"/>
          <w:sz w:val="20"/>
          <w:lang w:eastAsia="en-GB"/>
        </w:rPr>
      </w:pPr>
    </w:p>
    <w:p w14:paraId="01564ADD" w14:textId="77777777" w:rsidR="00500925" w:rsidRPr="0027792F" w:rsidRDefault="00500925" w:rsidP="00500925">
      <w:pPr>
        <w:pStyle w:val="List2"/>
        <w:ind w:hanging="566"/>
        <w:jc w:val="both"/>
        <w:rPr>
          <w:rFonts w:cs="Arial"/>
          <w:sz w:val="20"/>
          <w:lang w:eastAsia="en-GB"/>
        </w:rPr>
      </w:pPr>
      <w:r>
        <w:rPr>
          <w:rFonts w:cs="Arial"/>
          <w:sz w:val="20"/>
          <w:lang w:eastAsia="en-GB"/>
        </w:rPr>
        <w:t xml:space="preserve">Quarterly Monitoring </w:t>
      </w:r>
      <w:r w:rsidRPr="0027792F">
        <w:rPr>
          <w:rFonts w:cs="Arial"/>
          <w:sz w:val="20"/>
          <w:lang w:eastAsia="en-GB"/>
        </w:rPr>
        <w:t xml:space="preserve">Return </w:t>
      </w:r>
      <w:r>
        <w:rPr>
          <w:rFonts w:cs="Arial"/>
          <w:sz w:val="20"/>
          <w:lang w:eastAsia="en-GB"/>
        </w:rPr>
        <w:t xml:space="preserve">Part </w:t>
      </w:r>
      <w:r w:rsidR="008F6818">
        <w:rPr>
          <w:rFonts w:cs="Arial"/>
          <w:sz w:val="20"/>
          <w:lang w:eastAsia="en-GB"/>
        </w:rPr>
        <w:t>C</w:t>
      </w:r>
      <w:r>
        <w:rPr>
          <w:rFonts w:cs="Arial"/>
          <w:sz w:val="20"/>
          <w:lang w:eastAsia="en-GB"/>
        </w:rPr>
        <w:t xml:space="preserve"> </w:t>
      </w:r>
      <w:r w:rsidRPr="0027792F">
        <w:rPr>
          <w:rFonts w:cs="Arial"/>
          <w:sz w:val="20"/>
          <w:lang w:eastAsia="en-GB"/>
        </w:rPr>
        <w:t>Version</w:t>
      </w:r>
      <w:r>
        <w:rPr>
          <w:rFonts w:cs="Arial"/>
          <w:sz w:val="20"/>
          <w:lang w:eastAsia="en-GB"/>
        </w:rPr>
        <w:t xml:space="preserve">  </w:t>
      </w:r>
      <w:r w:rsidRPr="0027792F">
        <w:rPr>
          <w:rFonts w:cs="Arial"/>
          <w:sz w:val="20"/>
          <w:lang w:eastAsia="en-GB"/>
        </w:rPr>
        <w:t xml:space="preserve">   Date__________________   Time:________________</w:t>
      </w:r>
    </w:p>
    <w:p w14:paraId="6682C225" w14:textId="77777777" w:rsidR="00500925" w:rsidRDefault="00500925" w:rsidP="00500925">
      <w:pPr>
        <w:jc w:val="both"/>
        <w:rPr>
          <w:rFonts w:cs="Arial"/>
          <w:sz w:val="20"/>
          <w:lang w:eastAsia="en-GB"/>
        </w:rPr>
      </w:pPr>
    </w:p>
    <w:p w14:paraId="415EF8AF" w14:textId="77777777" w:rsidR="00500925" w:rsidRDefault="00500925" w:rsidP="00500925">
      <w:pPr>
        <w:pStyle w:val="Heading1"/>
        <w:numPr>
          <w:ilvl w:val="0"/>
          <w:numId w:val="0"/>
        </w:numPr>
        <w:jc w:val="both"/>
        <w:rPr>
          <w:lang w:eastAsia="en-GB"/>
        </w:rPr>
      </w:pPr>
      <w:r>
        <w:rPr>
          <w:lang w:eastAsia="en-GB"/>
        </w:rPr>
        <w:t>QM</w:t>
      </w:r>
      <w:r w:rsidR="008F6818">
        <w:rPr>
          <w:lang w:eastAsia="en-GB"/>
        </w:rPr>
        <w:t>C</w:t>
      </w:r>
      <w:r w:rsidRPr="00C76CA4">
        <w:rPr>
          <w:lang w:eastAsia="en-GB"/>
        </w:rPr>
        <w:t>930</w:t>
      </w:r>
    </w:p>
    <w:p w14:paraId="73771E73" w14:textId="77777777" w:rsidR="006D5A56" w:rsidRPr="00367701" w:rsidRDefault="006D5A56" w:rsidP="005D3768">
      <w:pPr>
        <w:rPr>
          <w:rFonts w:cs="Arial"/>
          <w:szCs w:val="22"/>
        </w:rPr>
      </w:pPr>
    </w:p>
    <w:sectPr w:rsidR="006D5A56" w:rsidRPr="00367701" w:rsidSect="00D32616">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FF935" w14:textId="77777777" w:rsidR="00430F86" w:rsidRDefault="00430F86" w:rsidP="0008725A">
      <w:pPr>
        <w:spacing w:line="240" w:lineRule="auto"/>
      </w:pPr>
      <w:r>
        <w:separator/>
      </w:r>
    </w:p>
  </w:endnote>
  <w:endnote w:type="continuationSeparator" w:id="0">
    <w:p w14:paraId="5D47725A" w14:textId="77777777" w:rsidR="00430F86" w:rsidRDefault="00430F86" w:rsidP="0008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5F739" w14:textId="77777777" w:rsidR="00430F86" w:rsidRDefault="00430F86" w:rsidP="0008725A">
      <w:pPr>
        <w:spacing w:line="240" w:lineRule="auto"/>
      </w:pPr>
      <w:r>
        <w:separator/>
      </w:r>
    </w:p>
  </w:footnote>
  <w:footnote w:type="continuationSeparator" w:id="0">
    <w:p w14:paraId="7E53770C" w14:textId="77777777" w:rsidR="00430F86" w:rsidRDefault="00430F86" w:rsidP="000872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9F0505A"/>
    <w:multiLevelType w:val="hybridMultilevel"/>
    <w:tmpl w:val="AC9C89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5">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2"/>
  </w:num>
  <w:num w:numId="2">
    <w:abstractNumId w:val="2"/>
  </w:num>
  <w:num w:numId="3">
    <w:abstractNumId w:val="2"/>
  </w:num>
  <w:num w:numId="4">
    <w:abstractNumId w:val="5"/>
  </w:num>
  <w:num w:numId="5">
    <w:abstractNumId w:val="4"/>
  </w:num>
  <w:num w:numId="6">
    <w:abstractNumId w:val="1"/>
  </w:num>
  <w:num w:numId="7">
    <w:abstractNumId w:val="1"/>
  </w:num>
  <w:num w:numId="8">
    <w:abstractNumId w:val="0"/>
  </w:num>
  <w:num w:numId="9">
    <w:abstractNumId w:val="2"/>
  </w:num>
  <w:num w:numId="10">
    <w:abstractNumId w:val="4"/>
  </w:num>
  <w:num w:numId="11">
    <w:abstractNumId w:val="0"/>
  </w:num>
  <w:num w:numId="12">
    <w:abstractNumId w:val="5"/>
  </w:num>
  <w:num w:numId="13">
    <w:abstractNumId w:val="1"/>
  </w:num>
  <w:num w:numId="14">
    <w:abstractNumId w:val="1"/>
  </w:num>
  <w:num w:numId="15">
    <w:abstractNumId w:val="0"/>
  </w:num>
  <w:num w:numId="16">
    <w:abstractNumId w:val="5"/>
  </w:num>
  <w:num w:numId="17">
    <w:abstractNumId w:val="2"/>
  </w:num>
  <w:num w:numId="18">
    <w:abstractNumId w:val="2"/>
  </w:num>
  <w:num w:numId="19">
    <w:abstractNumId w:val="2"/>
  </w:num>
  <w:num w:numId="20">
    <w:abstractNumId w:val="0"/>
  </w:num>
  <w:num w:numId="21">
    <w:abstractNumId w:val="5"/>
  </w:num>
  <w:num w:numId="22">
    <w:abstractNumId w:val="5"/>
  </w:num>
  <w:num w:numId="23">
    <w:abstractNumId w:val="4"/>
  </w:num>
  <w:num w:numId="24">
    <w:abstractNumId w:val="4"/>
  </w:num>
  <w:num w:numId="25">
    <w:abstractNumId w:val="1"/>
  </w:num>
  <w:num w:numId="26">
    <w:abstractNumId w:val="4"/>
  </w:num>
  <w:num w:numId="27">
    <w:abstractNumId w:val="1"/>
  </w:num>
  <w:num w:numId="28">
    <w:abstractNumId w:val="0"/>
  </w:num>
  <w:num w:numId="29">
    <w:abstractNumId w:val="5"/>
  </w:num>
  <w:num w:numId="30">
    <w:abstractNumId w:val="2"/>
  </w:num>
  <w:num w:numId="31">
    <w:abstractNumId w:val="2"/>
  </w:num>
  <w:num w:numId="32">
    <w:abstractNumId w:val="2"/>
  </w:num>
  <w:num w:numId="33">
    <w:abstractNumId w:val="4"/>
  </w:num>
  <w:num w:numId="34">
    <w:abstractNumId w:val="4"/>
  </w:num>
  <w:num w:numId="35">
    <w:abstractNumId w:val="1"/>
  </w:num>
  <w:num w:numId="36">
    <w:abstractNumId w:val="0"/>
  </w:num>
  <w:num w:numId="37">
    <w:abstractNumId w:val="5"/>
  </w:num>
  <w:num w:numId="38">
    <w:abstractNumId w:val="5"/>
  </w:num>
  <w:num w:numId="39">
    <w:abstractNumId w:val="5"/>
  </w:num>
  <w:num w:numId="40">
    <w:abstractNumId w:val="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25"/>
    <w:rsid w:val="00021026"/>
    <w:rsid w:val="000656A4"/>
    <w:rsid w:val="0008725A"/>
    <w:rsid w:val="000957EA"/>
    <w:rsid w:val="000A15DB"/>
    <w:rsid w:val="000C55BF"/>
    <w:rsid w:val="001457FE"/>
    <w:rsid w:val="001A7186"/>
    <w:rsid w:val="002434D7"/>
    <w:rsid w:val="00277802"/>
    <w:rsid w:val="00292103"/>
    <w:rsid w:val="002B6FB6"/>
    <w:rsid w:val="002D64C8"/>
    <w:rsid w:val="00314D6B"/>
    <w:rsid w:val="00345D2E"/>
    <w:rsid w:val="00367701"/>
    <w:rsid w:val="00392805"/>
    <w:rsid w:val="003C5055"/>
    <w:rsid w:val="003D4CDC"/>
    <w:rsid w:val="003E550C"/>
    <w:rsid w:val="0041667F"/>
    <w:rsid w:val="00430F86"/>
    <w:rsid w:val="004717D6"/>
    <w:rsid w:val="004A5250"/>
    <w:rsid w:val="004B1DC1"/>
    <w:rsid w:val="004D29F9"/>
    <w:rsid w:val="00500925"/>
    <w:rsid w:val="0051297D"/>
    <w:rsid w:val="00527C1A"/>
    <w:rsid w:val="00542363"/>
    <w:rsid w:val="005D3768"/>
    <w:rsid w:val="005F11B6"/>
    <w:rsid w:val="005F3355"/>
    <w:rsid w:val="00613567"/>
    <w:rsid w:val="006B58B8"/>
    <w:rsid w:val="006D5A56"/>
    <w:rsid w:val="006E680D"/>
    <w:rsid w:val="006F68BE"/>
    <w:rsid w:val="006F7D26"/>
    <w:rsid w:val="00710153"/>
    <w:rsid w:val="00753411"/>
    <w:rsid w:val="0076650E"/>
    <w:rsid w:val="00775E09"/>
    <w:rsid w:val="007D45D8"/>
    <w:rsid w:val="008334BB"/>
    <w:rsid w:val="00840218"/>
    <w:rsid w:val="00863F54"/>
    <w:rsid w:val="008F6818"/>
    <w:rsid w:val="00902D48"/>
    <w:rsid w:val="0091465A"/>
    <w:rsid w:val="00933328"/>
    <w:rsid w:val="0095624F"/>
    <w:rsid w:val="00963124"/>
    <w:rsid w:val="00A13F37"/>
    <w:rsid w:val="00A51257"/>
    <w:rsid w:val="00AE3BE0"/>
    <w:rsid w:val="00B03EF3"/>
    <w:rsid w:val="00B15165"/>
    <w:rsid w:val="00BB1CE3"/>
    <w:rsid w:val="00BF1417"/>
    <w:rsid w:val="00C9168D"/>
    <w:rsid w:val="00CB1DE4"/>
    <w:rsid w:val="00CB29CF"/>
    <w:rsid w:val="00CE4BA6"/>
    <w:rsid w:val="00D17B3E"/>
    <w:rsid w:val="00D32616"/>
    <w:rsid w:val="00D418B6"/>
    <w:rsid w:val="00D43B3C"/>
    <w:rsid w:val="00E34A6B"/>
    <w:rsid w:val="00E5428D"/>
    <w:rsid w:val="00E62248"/>
    <w:rsid w:val="00E66810"/>
    <w:rsid w:val="00E8000C"/>
    <w:rsid w:val="00EC40EF"/>
    <w:rsid w:val="00F1146B"/>
    <w:rsid w:val="00F2606B"/>
    <w:rsid w:val="00F92C2A"/>
    <w:rsid w:val="00FE2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0A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25"/>
    <w:pPr>
      <w:spacing w:line="280" w:lineRule="atLeast"/>
    </w:pPr>
    <w:rPr>
      <w:rFonts w:ascii="Arial" w:hAnsi="Arial"/>
      <w:sz w:val="22"/>
      <w:lang w:eastAsia="en-US"/>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paragraph" w:styleId="BodyText">
    <w:name w:val="Body Text"/>
    <w:basedOn w:val="Normal"/>
    <w:link w:val="BodyTextChar"/>
    <w:rsid w:val="00500925"/>
    <w:pPr>
      <w:spacing w:line="240" w:lineRule="auto"/>
    </w:pPr>
    <w:rPr>
      <w:rFonts w:ascii="Times New Roman" w:hAnsi="Times New Roman"/>
      <w:snapToGrid w:val="0"/>
      <w:color w:val="000000"/>
      <w:sz w:val="24"/>
    </w:rPr>
  </w:style>
  <w:style w:type="character" w:customStyle="1" w:styleId="BodyTextChar">
    <w:name w:val="Body Text Char"/>
    <w:basedOn w:val="DefaultParagraphFont"/>
    <w:link w:val="BodyText"/>
    <w:rsid w:val="00500925"/>
    <w:rPr>
      <w:snapToGrid w:val="0"/>
      <w:color w:val="000000"/>
      <w:sz w:val="24"/>
      <w:lang w:eastAsia="en-US"/>
    </w:rPr>
  </w:style>
  <w:style w:type="paragraph" w:styleId="List2">
    <w:name w:val="List 2"/>
    <w:basedOn w:val="Normal"/>
    <w:rsid w:val="00500925"/>
    <w:pPr>
      <w:ind w:left="566" w:hanging="283"/>
    </w:pPr>
  </w:style>
  <w:style w:type="character" w:styleId="CommentReference">
    <w:name w:val="annotation reference"/>
    <w:basedOn w:val="DefaultParagraphFont"/>
    <w:uiPriority w:val="99"/>
    <w:semiHidden/>
    <w:unhideWhenUsed/>
    <w:rsid w:val="00775E09"/>
    <w:rPr>
      <w:sz w:val="16"/>
      <w:szCs w:val="16"/>
    </w:rPr>
  </w:style>
  <w:style w:type="paragraph" w:styleId="CommentText">
    <w:name w:val="annotation text"/>
    <w:basedOn w:val="Normal"/>
    <w:link w:val="CommentTextChar"/>
    <w:uiPriority w:val="99"/>
    <w:semiHidden/>
    <w:unhideWhenUsed/>
    <w:rsid w:val="00775E09"/>
    <w:pPr>
      <w:spacing w:line="240" w:lineRule="auto"/>
    </w:pPr>
    <w:rPr>
      <w:sz w:val="20"/>
    </w:rPr>
  </w:style>
  <w:style w:type="character" w:customStyle="1" w:styleId="CommentTextChar">
    <w:name w:val="Comment Text Char"/>
    <w:basedOn w:val="DefaultParagraphFont"/>
    <w:link w:val="CommentText"/>
    <w:uiPriority w:val="99"/>
    <w:semiHidden/>
    <w:rsid w:val="00775E0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75E09"/>
    <w:rPr>
      <w:b/>
      <w:bCs/>
    </w:rPr>
  </w:style>
  <w:style w:type="character" w:customStyle="1" w:styleId="CommentSubjectChar">
    <w:name w:val="Comment Subject Char"/>
    <w:basedOn w:val="CommentTextChar"/>
    <w:link w:val="CommentSubject"/>
    <w:uiPriority w:val="99"/>
    <w:semiHidden/>
    <w:rsid w:val="00775E09"/>
    <w:rPr>
      <w:rFonts w:ascii="Arial" w:hAnsi="Arial"/>
      <w:b/>
      <w:bCs/>
      <w:lang w:eastAsia="en-US"/>
    </w:rPr>
  </w:style>
  <w:style w:type="paragraph" w:styleId="BalloonText">
    <w:name w:val="Balloon Text"/>
    <w:basedOn w:val="Normal"/>
    <w:link w:val="BalloonTextChar"/>
    <w:uiPriority w:val="99"/>
    <w:semiHidden/>
    <w:unhideWhenUsed/>
    <w:rsid w:val="00775E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09"/>
    <w:rPr>
      <w:rFonts w:ascii="Tahoma" w:hAnsi="Tahoma" w:cs="Tahoma"/>
      <w:sz w:val="16"/>
      <w:szCs w:val="16"/>
      <w:lang w:eastAsia="en-US"/>
    </w:rPr>
  </w:style>
  <w:style w:type="paragraph" w:styleId="Header">
    <w:name w:val="header"/>
    <w:basedOn w:val="Normal"/>
    <w:link w:val="HeaderChar"/>
    <w:uiPriority w:val="99"/>
    <w:unhideWhenUsed/>
    <w:rsid w:val="0008725A"/>
    <w:pPr>
      <w:tabs>
        <w:tab w:val="center" w:pos="4513"/>
        <w:tab w:val="right" w:pos="9026"/>
      </w:tabs>
      <w:spacing w:line="240" w:lineRule="auto"/>
    </w:pPr>
  </w:style>
  <w:style w:type="character" w:customStyle="1" w:styleId="HeaderChar">
    <w:name w:val="Header Char"/>
    <w:basedOn w:val="DefaultParagraphFont"/>
    <w:link w:val="Header"/>
    <w:uiPriority w:val="99"/>
    <w:rsid w:val="0008725A"/>
    <w:rPr>
      <w:rFonts w:ascii="Arial" w:hAnsi="Arial"/>
      <w:sz w:val="22"/>
      <w:lang w:eastAsia="en-US"/>
    </w:rPr>
  </w:style>
  <w:style w:type="paragraph" w:styleId="Footer">
    <w:name w:val="footer"/>
    <w:basedOn w:val="Normal"/>
    <w:link w:val="FooterChar"/>
    <w:uiPriority w:val="99"/>
    <w:unhideWhenUsed/>
    <w:rsid w:val="0008725A"/>
    <w:pPr>
      <w:tabs>
        <w:tab w:val="center" w:pos="4513"/>
        <w:tab w:val="right" w:pos="9026"/>
      </w:tabs>
      <w:spacing w:line="240" w:lineRule="auto"/>
    </w:pPr>
  </w:style>
  <w:style w:type="character" w:customStyle="1" w:styleId="FooterChar">
    <w:name w:val="Footer Char"/>
    <w:basedOn w:val="DefaultParagraphFont"/>
    <w:link w:val="Footer"/>
    <w:uiPriority w:val="99"/>
    <w:rsid w:val="0008725A"/>
    <w:rPr>
      <w:rFonts w:ascii="Arial" w:hAnsi="Arial"/>
      <w:sz w:val="22"/>
      <w:lang w:eastAsia="en-US"/>
    </w:rPr>
  </w:style>
  <w:style w:type="paragraph" w:styleId="Revision">
    <w:name w:val="Revision"/>
    <w:hidden/>
    <w:uiPriority w:val="99"/>
    <w:semiHidden/>
    <w:rsid w:val="00F2606B"/>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25"/>
    <w:pPr>
      <w:spacing w:line="280" w:lineRule="atLeast"/>
    </w:pPr>
    <w:rPr>
      <w:rFonts w:ascii="Arial" w:hAnsi="Arial"/>
      <w:sz w:val="22"/>
      <w:lang w:eastAsia="en-US"/>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paragraph" w:styleId="BodyText">
    <w:name w:val="Body Text"/>
    <w:basedOn w:val="Normal"/>
    <w:link w:val="BodyTextChar"/>
    <w:rsid w:val="00500925"/>
    <w:pPr>
      <w:spacing w:line="240" w:lineRule="auto"/>
    </w:pPr>
    <w:rPr>
      <w:rFonts w:ascii="Times New Roman" w:hAnsi="Times New Roman"/>
      <w:snapToGrid w:val="0"/>
      <w:color w:val="000000"/>
      <w:sz w:val="24"/>
    </w:rPr>
  </w:style>
  <w:style w:type="character" w:customStyle="1" w:styleId="BodyTextChar">
    <w:name w:val="Body Text Char"/>
    <w:basedOn w:val="DefaultParagraphFont"/>
    <w:link w:val="BodyText"/>
    <w:rsid w:val="00500925"/>
    <w:rPr>
      <w:snapToGrid w:val="0"/>
      <w:color w:val="000000"/>
      <w:sz w:val="24"/>
      <w:lang w:eastAsia="en-US"/>
    </w:rPr>
  </w:style>
  <w:style w:type="paragraph" w:styleId="List2">
    <w:name w:val="List 2"/>
    <w:basedOn w:val="Normal"/>
    <w:rsid w:val="00500925"/>
    <w:pPr>
      <w:ind w:left="566" w:hanging="283"/>
    </w:pPr>
  </w:style>
  <w:style w:type="character" w:styleId="CommentReference">
    <w:name w:val="annotation reference"/>
    <w:basedOn w:val="DefaultParagraphFont"/>
    <w:uiPriority w:val="99"/>
    <w:semiHidden/>
    <w:unhideWhenUsed/>
    <w:rsid w:val="00775E09"/>
    <w:rPr>
      <w:sz w:val="16"/>
      <w:szCs w:val="16"/>
    </w:rPr>
  </w:style>
  <w:style w:type="paragraph" w:styleId="CommentText">
    <w:name w:val="annotation text"/>
    <w:basedOn w:val="Normal"/>
    <w:link w:val="CommentTextChar"/>
    <w:uiPriority w:val="99"/>
    <w:semiHidden/>
    <w:unhideWhenUsed/>
    <w:rsid w:val="00775E09"/>
    <w:pPr>
      <w:spacing w:line="240" w:lineRule="auto"/>
    </w:pPr>
    <w:rPr>
      <w:sz w:val="20"/>
    </w:rPr>
  </w:style>
  <w:style w:type="character" w:customStyle="1" w:styleId="CommentTextChar">
    <w:name w:val="Comment Text Char"/>
    <w:basedOn w:val="DefaultParagraphFont"/>
    <w:link w:val="CommentText"/>
    <w:uiPriority w:val="99"/>
    <w:semiHidden/>
    <w:rsid w:val="00775E0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75E09"/>
    <w:rPr>
      <w:b/>
      <w:bCs/>
    </w:rPr>
  </w:style>
  <w:style w:type="character" w:customStyle="1" w:styleId="CommentSubjectChar">
    <w:name w:val="Comment Subject Char"/>
    <w:basedOn w:val="CommentTextChar"/>
    <w:link w:val="CommentSubject"/>
    <w:uiPriority w:val="99"/>
    <w:semiHidden/>
    <w:rsid w:val="00775E09"/>
    <w:rPr>
      <w:rFonts w:ascii="Arial" w:hAnsi="Arial"/>
      <w:b/>
      <w:bCs/>
      <w:lang w:eastAsia="en-US"/>
    </w:rPr>
  </w:style>
  <w:style w:type="paragraph" w:styleId="BalloonText">
    <w:name w:val="Balloon Text"/>
    <w:basedOn w:val="Normal"/>
    <w:link w:val="BalloonTextChar"/>
    <w:uiPriority w:val="99"/>
    <w:semiHidden/>
    <w:unhideWhenUsed/>
    <w:rsid w:val="00775E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09"/>
    <w:rPr>
      <w:rFonts w:ascii="Tahoma" w:hAnsi="Tahoma" w:cs="Tahoma"/>
      <w:sz w:val="16"/>
      <w:szCs w:val="16"/>
      <w:lang w:eastAsia="en-US"/>
    </w:rPr>
  </w:style>
  <w:style w:type="paragraph" w:styleId="Header">
    <w:name w:val="header"/>
    <w:basedOn w:val="Normal"/>
    <w:link w:val="HeaderChar"/>
    <w:uiPriority w:val="99"/>
    <w:unhideWhenUsed/>
    <w:rsid w:val="0008725A"/>
    <w:pPr>
      <w:tabs>
        <w:tab w:val="center" w:pos="4513"/>
        <w:tab w:val="right" w:pos="9026"/>
      </w:tabs>
      <w:spacing w:line="240" w:lineRule="auto"/>
    </w:pPr>
  </w:style>
  <w:style w:type="character" w:customStyle="1" w:styleId="HeaderChar">
    <w:name w:val="Header Char"/>
    <w:basedOn w:val="DefaultParagraphFont"/>
    <w:link w:val="Header"/>
    <w:uiPriority w:val="99"/>
    <w:rsid w:val="0008725A"/>
    <w:rPr>
      <w:rFonts w:ascii="Arial" w:hAnsi="Arial"/>
      <w:sz w:val="22"/>
      <w:lang w:eastAsia="en-US"/>
    </w:rPr>
  </w:style>
  <w:style w:type="paragraph" w:styleId="Footer">
    <w:name w:val="footer"/>
    <w:basedOn w:val="Normal"/>
    <w:link w:val="FooterChar"/>
    <w:uiPriority w:val="99"/>
    <w:unhideWhenUsed/>
    <w:rsid w:val="0008725A"/>
    <w:pPr>
      <w:tabs>
        <w:tab w:val="center" w:pos="4513"/>
        <w:tab w:val="right" w:pos="9026"/>
      </w:tabs>
      <w:spacing w:line="240" w:lineRule="auto"/>
    </w:pPr>
  </w:style>
  <w:style w:type="character" w:customStyle="1" w:styleId="FooterChar">
    <w:name w:val="Footer Char"/>
    <w:basedOn w:val="DefaultParagraphFont"/>
    <w:link w:val="Footer"/>
    <w:uiPriority w:val="99"/>
    <w:rsid w:val="0008725A"/>
    <w:rPr>
      <w:rFonts w:ascii="Arial" w:hAnsi="Arial"/>
      <w:sz w:val="22"/>
      <w:lang w:eastAsia="en-US"/>
    </w:rPr>
  </w:style>
  <w:style w:type="paragraph" w:styleId="Revision">
    <w:name w:val="Revision"/>
    <w:hidden/>
    <w:uiPriority w:val="99"/>
    <w:semiHidden/>
    <w:rsid w:val="00F2606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3B37C2E9F5943BFD0439B3B5156A7" ma:contentTypeVersion="10" ma:contentTypeDescription="Create a new document." ma:contentTypeScope="" ma:versionID="a3eb72617db323512a2e4e501f9fe012">
  <xsd:schema xmlns:xsd="http://www.w3.org/2001/XMLSchema" xmlns:xs="http://www.w3.org/2001/XMLSchema" xmlns:p="http://schemas.microsoft.com/office/2006/metadata/properties" xmlns:ns2="dbb8d064-0aab-4a9d-9217-8199e4b57163" xmlns:ns3="b8fe962d-9358-414b-a911-6d8ea95b7609" targetNamespace="http://schemas.microsoft.com/office/2006/metadata/properties" ma:root="true" ma:fieldsID="1ccfb66fd0444f4d14a1afd49a3f6785" ns2:_="" ns3:_="">
    <xsd:import namespace="dbb8d064-0aab-4a9d-9217-8199e4b57163"/>
    <xsd:import namespace="b8fe962d-9358-414b-a911-6d8ea95b7609"/>
    <xsd:element name="properties">
      <xsd:complexType>
        <xsd:sequence>
          <xsd:element name="documentManagement">
            <xsd:complexType>
              <xsd:all>
                <xsd:element ref="ns2:SolvencyII_x0020_ReferenceTaxHTField0" minOccurs="0"/>
                <xsd:element ref="ns2:TaxCatchAll" minOccurs="0"/>
                <xsd:element ref="ns2:TaxCatchAllLabel" minOccurs="0"/>
                <xsd:element ref="ns2:_dlc_DocId" minOccurs="0"/>
                <xsd:element ref="ns2:_dlc_DocIdUrl" minOccurs="0"/>
                <xsd:element ref="ns2:_dlc_DocIdPersistId"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d064-0aab-4a9d-9217-8199e4b57163" elementFormDefault="qualified">
    <xsd:import namespace="http://schemas.microsoft.com/office/2006/documentManagement/types"/>
    <xsd:import namespace="http://schemas.microsoft.com/office/infopath/2007/PartnerControls"/>
    <xsd:element name="SolvencyII_x0020_ReferenceTaxHTField0" ma:index="9" nillable="true" ma:taxonomy="true" ma:internalName="SolvencyII_x0020_ReferenceTaxHTField0" ma:taxonomyFieldName="SolvencyII_x0020_Reference" ma:displayName="SolvencyII Reference" ma:default="" ma:fieldId="{ee767006-251a-4c46-90ac-ffa44f083c0a}" ma:taxonomyMulti="true" ma:sspId="6a98ba88-a5cd-4093-9c0d-7244f9eef3e8" ma:termSetId="00771e3f-ff45-4955-8419-89aeacf30bb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ec4da26-474f-4066-a54e-fca6ff69f168}" ma:internalName="TaxCatchAll" ma:showField="CatchAllData" ma:web="dbb8d064-0aab-4a9d-9217-8199e4b5716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ec4da26-474f-4066-a54e-fca6ff69f168}" ma:internalName="TaxCatchAllLabel" ma:readOnly="true" ma:showField="CatchAllDataLabel" ma:web="dbb8d064-0aab-4a9d-9217-8199e4b57163">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fe962d-9358-414b-a911-6d8ea95b7609" elementFormDefault="qualified">
    <xsd:import namespace="http://schemas.microsoft.com/office/2006/documentManagement/types"/>
    <xsd:import namespace="http://schemas.microsoft.com/office/infopath/2007/PartnerControls"/>
    <xsd:element name="DLCPolicyLabelValue" ma:index="1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lvencyII_x0020_ReferenceTaxHTField0 xmlns="dbb8d064-0aab-4a9d-9217-8199e4b57163">
      <Terms xmlns="http://schemas.microsoft.com/office/infopath/2007/PartnerControls"/>
    </SolvencyII_x0020_ReferenceTaxHTField0>
    <TaxCatchAll xmlns="dbb8d064-0aab-4a9d-9217-8199e4b57163"/>
    <DLCPolicyLabelClientValue xmlns="b8fe962d-9358-414b-a911-6d8ea95b7609" xsi:nil="true"/>
    <DLCPolicyLabelLock xmlns="b8fe962d-9358-414b-a911-6d8ea95b7609" xsi:nil="true"/>
    <_dlc_DocId xmlns="dbb8d064-0aab-4a9d-9217-8199e4b57163">SOLVII-129-1198</_dlc_DocId>
    <_dlc_DocIdUrl xmlns="dbb8d064-0aab-4a9d-9217-8199e4b57163">
      <Url>http://sharepoint/programmes/SolvencyII/Reporting/_layouts/DocIdRedir.aspx?ID=SOLVII-129-1198</Url>
      <Description>SOLVII-129-1198</Description>
    </_dlc_DocIdUrl>
  </documentManagement>
</p:properties>
</file>

<file path=customXml/itemProps1.xml><?xml version="1.0" encoding="utf-8"?>
<ds:datastoreItem xmlns:ds="http://schemas.openxmlformats.org/officeDocument/2006/customXml" ds:itemID="{6C0D5910-2B93-4E3D-960D-95029FA3F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d064-0aab-4a9d-9217-8199e4b57163"/>
    <ds:schemaRef ds:uri="b8fe962d-9358-414b-a911-6d8ea95b7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1F3D8-F31E-4772-9D48-A566CF339141}">
  <ds:schemaRefs>
    <ds:schemaRef ds:uri="http://schemas.microsoft.com/sharepoint/events"/>
  </ds:schemaRefs>
</ds:datastoreItem>
</file>

<file path=customXml/itemProps3.xml><?xml version="1.0" encoding="utf-8"?>
<ds:datastoreItem xmlns:ds="http://schemas.openxmlformats.org/officeDocument/2006/customXml" ds:itemID="{94D08124-AC0B-424C-AF4B-9DA894B3A1DB}">
  <ds:schemaRefs>
    <ds:schemaRef ds:uri="http://schemas.microsoft.com/sharepoint/v3/contenttype/forms"/>
  </ds:schemaRefs>
</ds:datastoreItem>
</file>

<file path=customXml/itemProps4.xml><?xml version="1.0" encoding="utf-8"?>
<ds:datastoreItem xmlns:ds="http://schemas.openxmlformats.org/officeDocument/2006/customXml" ds:itemID="{14263F15-0771-450F-9EBC-F4FE1027E545}">
  <ds:schemaRefs>
    <ds:schemaRef ds:uri="http://schemas.microsoft.com/office/2006/documentManagement/types"/>
    <ds:schemaRef ds:uri="http://purl.org/dc/elements/1.1/"/>
    <ds:schemaRef ds:uri="dbb8d064-0aab-4a9d-9217-8199e4b57163"/>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b8fe962d-9358-414b-a911-6d8ea95b760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A6295022.dotm</Template>
  <TotalTime>1</TotalTime>
  <Pages>2</Pages>
  <Words>656</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Global Corporation Template</dc:subject>
  <dc:creator>Smith, Robert</dc:creator>
  <cp:lastModifiedBy>Flynn, Rachel</cp:lastModifiedBy>
  <cp:revision>2</cp:revision>
  <cp:lastPrinted>2012-11-29T13:49:00Z</cp:lastPrinted>
  <dcterms:created xsi:type="dcterms:W3CDTF">2012-12-17T13:52:00Z</dcterms:created>
  <dcterms:modified xsi:type="dcterms:W3CDTF">2012-12-17T13:52:00Z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0x010100B453B37C2E9F5943BFD0439B3B5156A7</vt:lpwstr>
  </property>
  <property fmtid="{D5CDD505-2E9C-101B-9397-08002B2CF9AE}" pid="3" name="SolvencyII Reference">
    <vt:lpwstr/>
  </property>
  <property fmtid="{D5CDD505-2E9C-101B-9397-08002B2CF9AE}" pid="4" name="_dlc_DocIdItemGuid">
    <vt:lpwstr>66fc5e8e-26c2-41ea-8015-f29ccb928818</vt:lpwstr>
  </property>
  <property fmtid="{D5CDD505-2E9C-101B-9397-08002B2CF9AE}" pid="5" name="TaxKeyword">
    <vt:lpwstr/>
  </property>
  <property fmtid="{D5CDD505-2E9C-101B-9397-08002B2CF9AE}" pid="6" name="TaxKeywordTaxHTField">
    <vt:lpwstr/>
  </property>
</Properties>
</file>