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8D" w:rsidRPr="00E16BF6" w:rsidRDefault="00EE008D" w:rsidP="008E26AA">
      <w:pPr>
        <w:widowControl w:val="0"/>
        <w:tabs>
          <w:tab w:val="left" w:pos="1134"/>
        </w:tabs>
        <w:ind w:left="144" w:right="144"/>
        <w:rPr>
          <w:rFonts w:cs="Arial"/>
          <w:color w:val="000000"/>
          <w:sz w:val="24"/>
        </w:rPr>
      </w:pPr>
    </w:p>
    <w:p w:rsidR="00EE008D" w:rsidRPr="00E16BF6" w:rsidRDefault="00EE008D" w:rsidP="008E26AA">
      <w:pPr>
        <w:widowControl w:val="0"/>
        <w:tabs>
          <w:tab w:val="left" w:pos="1134"/>
        </w:tabs>
        <w:ind w:left="144" w:right="144"/>
        <w:rPr>
          <w:rFonts w:cs="Arial"/>
          <w:color w:val="000000"/>
          <w:sz w:val="24"/>
        </w:rPr>
      </w:pPr>
    </w:p>
    <w:p w:rsidR="00EE008D" w:rsidRPr="00E16BF6" w:rsidRDefault="00EE008D" w:rsidP="008E26AA">
      <w:pPr>
        <w:widowControl w:val="0"/>
        <w:tabs>
          <w:tab w:val="left" w:pos="1134"/>
        </w:tabs>
        <w:ind w:left="144" w:right="144"/>
        <w:rPr>
          <w:rFonts w:cs="Arial"/>
          <w:color w:val="000000"/>
          <w:sz w:val="24"/>
        </w:rPr>
      </w:pPr>
    </w:p>
    <w:p w:rsidR="00EE008D" w:rsidRPr="00E16BF6" w:rsidRDefault="00EE008D" w:rsidP="008E26AA">
      <w:pPr>
        <w:widowControl w:val="0"/>
        <w:tabs>
          <w:tab w:val="left" w:pos="1134"/>
        </w:tabs>
        <w:ind w:left="144" w:right="144"/>
        <w:rPr>
          <w:rFonts w:cs="Arial"/>
          <w:color w:val="000000"/>
          <w:sz w:val="24"/>
        </w:rPr>
      </w:pPr>
    </w:p>
    <w:p w:rsidR="00EE008D" w:rsidRPr="00EA4E25" w:rsidRDefault="00042572" w:rsidP="008E26AA">
      <w:pPr>
        <w:widowControl w:val="0"/>
        <w:tabs>
          <w:tab w:val="left" w:pos="1134"/>
        </w:tabs>
        <w:ind w:left="144" w:right="144"/>
        <w:rPr>
          <w:rFonts w:cs="Arial"/>
          <w:color w:val="000000"/>
          <w:sz w:val="24"/>
        </w:rPr>
      </w:pPr>
      <w:r>
        <w:rPr>
          <w:noProof/>
          <w:lang w:eastAsia="en-GB"/>
        </w:rPr>
        <w:drawing>
          <wp:anchor distT="0" distB="0" distL="114300" distR="114300" simplePos="0" relativeHeight="251657216" behindDoc="0" locked="0" layoutInCell="1" allowOverlap="1" wp14:anchorId="43CFA0F6" wp14:editId="0F5EE8AB">
            <wp:simplePos x="0" y="0"/>
            <wp:positionH relativeFrom="page">
              <wp:posOffset>5328920</wp:posOffset>
            </wp:positionH>
            <wp:positionV relativeFrom="page">
              <wp:posOffset>180340</wp:posOffset>
            </wp:positionV>
            <wp:extent cx="1296035" cy="523240"/>
            <wp:effectExtent l="0" t="0" r="0" b="0"/>
            <wp:wrapNone/>
            <wp:docPr id="27" name="Picture 26" descr="Description: 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TAB_100mm_NONBLEED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08D" w:rsidRPr="00EA4E25" w:rsidRDefault="00EE008D" w:rsidP="008E26AA">
      <w:pPr>
        <w:widowControl w:val="0"/>
        <w:tabs>
          <w:tab w:val="left" w:pos="1134"/>
        </w:tabs>
        <w:ind w:left="144" w:right="144"/>
        <w:rPr>
          <w:rFonts w:cs="Arial"/>
          <w:color w:val="000000"/>
          <w:sz w:val="24"/>
        </w:rPr>
      </w:pPr>
    </w:p>
    <w:p w:rsidR="00EE008D" w:rsidRPr="00EA4E25" w:rsidRDefault="00172ED2" w:rsidP="008E26AA">
      <w:pPr>
        <w:widowControl w:val="0"/>
        <w:tabs>
          <w:tab w:val="left" w:pos="1134"/>
        </w:tabs>
        <w:ind w:left="144" w:right="144"/>
        <w:jc w:val="center"/>
        <w:rPr>
          <w:rFonts w:ascii="Sansa Lloyds" w:hAnsi="Sansa Lloyds" w:cs="Arial"/>
          <w:b/>
          <w:color w:val="000000"/>
          <w:sz w:val="48"/>
        </w:rPr>
      </w:pPr>
      <w:r w:rsidRPr="00EA4E25">
        <w:rPr>
          <w:rFonts w:ascii="Sansa Lloyds" w:hAnsi="Sansa Lloyds" w:cs="Arial"/>
          <w:b/>
          <w:color w:val="000000"/>
          <w:sz w:val="48"/>
        </w:rPr>
        <w:t>Syndicate Business Forecast</w:t>
      </w:r>
    </w:p>
    <w:p w:rsidR="00EE008D" w:rsidRPr="00EA4E25" w:rsidRDefault="002779CA" w:rsidP="008E26AA">
      <w:pPr>
        <w:widowControl w:val="0"/>
        <w:tabs>
          <w:tab w:val="left" w:pos="1134"/>
        </w:tabs>
        <w:ind w:left="144" w:right="144"/>
        <w:jc w:val="center"/>
        <w:rPr>
          <w:rFonts w:ascii="Sansa Lloyds" w:hAnsi="Sansa Lloyds" w:cs="Arial"/>
          <w:b/>
          <w:color w:val="000000"/>
          <w:sz w:val="48"/>
        </w:rPr>
      </w:pPr>
      <w:r w:rsidRPr="00235165">
        <w:rPr>
          <w:rFonts w:ascii="Sansa Lloyds" w:hAnsi="Sansa Lloyds" w:cs="Arial"/>
          <w:b/>
          <w:sz w:val="48"/>
        </w:rPr>
        <w:t>201</w:t>
      </w:r>
      <w:r w:rsidR="002711B0">
        <w:rPr>
          <w:rFonts w:ascii="Sansa Lloyds" w:hAnsi="Sansa Lloyds" w:cs="Arial"/>
          <w:b/>
          <w:color w:val="000000"/>
          <w:sz w:val="48"/>
        </w:rPr>
        <w:t>9</w:t>
      </w:r>
      <w:r w:rsidR="00A1440B" w:rsidRPr="00EA4E25">
        <w:rPr>
          <w:rFonts w:ascii="Sansa Lloyds" w:hAnsi="Sansa Lloyds" w:cs="Arial"/>
          <w:b/>
          <w:color w:val="000000"/>
          <w:sz w:val="48"/>
        </w:rPr>
        <w:t>-</w:t>
      </w:r>
      <w:r w:rsidR="002711B0">
        <w:rPr>
          <w:rFonts w:ascii="Sansa Lloyds" w:hAnsi="Sansa Lloyds" w:cs="Arial"/>
          <w:b/>
          <w:color w:val="000000"/>
          <w:sz w:val="48"/>
        </w:rPr>
        <w:t>2020</w:t>
      </w:r>
    </w:p>
    <w:p w:rsidR="009B7B24" w:rsidRPr="00EA4E25" w:rsidRDefault="009B7B24" w:rsidP="00235165">
      <w:pPr>
        <w:widowControl w:val="0"/>
        <w:tabs>
          <w:tab w:val="left" w:pos="1134"/>
          <w:tab w:val="left" w:pos="7088"/>
        </w:tabs>
        <w:ind w:left="144" w:right="144"/>
        <w:jc w:val="center"/>
        <w:rPr>
          <w:rFonts w:ascii="Sansa Lloyds" w:hAnsi="Sansa Lloyds" w:cs="Arial"/>
          <w:b/>
          <w:color w:val="000000"/>
          <w:sz w:val="48"/>
        </w:rPr>
      </w:pPr>
    </w:p>
    <w:p w:rsidR="00EE008D" w:rsidRPr="00EA4E25" w:rsidRDefault="00EE008D" w:rsidP="008E26AA">
      <w:pPr>
        <w:widowControl w:val="0"/>
        <w:tabs>
          <w:tab w:val="left" w:pos="1134"/>
        </w:tabs>
        <w:ind w:left="144" w:right="144"/>
        <w:jc w:val="center"/>
        <w:rPr>
          <w:rFonts w:ascii="Sansa Lloyds" w:hAnsi="Sansa Lloyds" w:cs="Arial"/>
          <w:b/>
          <w:color w:val="000000"/>
          <w:sz w:val="48"/>
        </w:rPr>
      </w:pPr>
    </w:p>
    <w:p w:rsidR="00D33211" w:rsidRPr="00EA4E25" w:rsidRDefault="006A1F89" w:rsidP="008E26AA">
      <w:pPr>
        <w:widowControl w:val="0"/>
        <w:tabs>
          <w:tab w:val="left" w:pos="1134"/>
        </w:tabs>
        <w:ind w:left="144" w:right="144"/>
        <w:jc w:val="center"/>
        <w:rPr>
          <w:rFonts w:ascii="Sansa Lloyds" w:hAnsi="Sansa Lloyds" w:cs="Arial"/>
          <w:b/>
          <w:color w:val="000000"/>
          <w:sz w:val="48"/>
        </w:rPr>
      </w:pPr>
      <w:r w:rsidRPr="00EA4E25">
        <w:rPr>
          <w:rFonts w:ascii="Sansa Lloyds" w:hAnsi="Sansa Lloyds" w:cs="Arial"/>
          <w:b/>
          <w:color w:val="000000"/>
          <w:sz w:val="48"/>
        </w:rPr>
        <w:t xml:space="preserve">SBF </w:t>
      </w:r>
      <w:r w:rsidR="00EE008D" w:rsidRPr="00EA4E25">
        <w:rPr>
          <w:rFonts w:ascii="Sansa Lloyds" w:hAnsi="Sansa Lloyds" w:cs="Arial"/>
          <w:b/>
          <w:color w:val="000000"/>
          <w:sz w:val="48"/>
        </w:rPr>
        <w:t>Instructions</w:t>
      </w:r>
      <w:r w:rsidR="00FA08A4" w:rsidRPr="00EA4E25">
        <w:rPr>
          <w:rFonts w:ascii="Sansa Lloyds" w:hAnsi="Sansa Lloyds" w:cs="Arial"/>
          <w:b/>
          <w:color w:val="000000"/>
          <w:sz w:val="48"/>
        </w:rPr>
        <w:t xml:space="preserve"> </w:t>
      </w:r>
    </w:p>
    <w:p w:rsidR="006B36CD" w:rsidRPr="00EA4E25" w:rsidRDefault="006B36CD" w:rsidP="008E26AA">
      <w:pPr>
        <w:tabs>
          <w:tab w:val="left" w:pos="1134"/>
        </w:tabs>
        <w:rPr>
          <w:rFonts w:ascii="Sansa Lloyds" w:hAnsi="Sansa Lloyds"/>
        </w:rPr>
      </w:pPr>
    </w:p>
    <w:p w:rsidR="006B36CD" w:rsidRPr="00EA4E25" w:rsidRDefault="006B36CD" w:rsidP="008E26AA">
      <w:pPr>
        <w:tabs>
          <w:tab w:val="left" w:pos="1134"/>
        </w:tabs>
      </w:pPr>
    </w:p>
    <w:p w:rsidR="006A1F89" w:rsidRPr="00EA4E25" w:rsidRDefault="00E31F23" w:rsidP="008E26AA">
      <w:pPr>
        <w:tabs>
          <w:tab w:val="left" w:pos="1134"/>
        </w:tabs>
        <w:rPr>
          <w:sz w:val="32"/>
          <w:szCs w:val="32"/>
        </w:rPr>
      </w:pPr>
      <w:r w:rsidRPr="00EA4E25">
        <w:rPr>
          <w:sz w:val="32"/>
          <w:szCs w:val="32"/>
        </w:rPr>
        <w:t xml:space="preserve"> </w:t>
      </w:r>
    </w:p>
    <w:p w:rsidR="008F7D20" w:rsidRPr="00357F13" w:rsidRDefault="006B36CD" w:rsidP="008E26AA">
      <w:pPr>
        <w:tabs>
          <w:tab w:val="left" w:pos="1134"/>
        </w:tabs>
        <w:rPr>
          <w:sz w:val="28"/>
          <w:szCs w:val="28"/>
        </w:rPr>
      </w:pPr>
      <w:r w:rsidRPr="00EA4E25">
        <w:rPr>
          <w:sz w:val="28"/>
          <w:szCs w:val="28"/>
        </w:rPr>
        <w:t xml:space="preserve">Date </w:t>
      </w:r>
      <w:r w:rsidRPr="00357F13">
        <w:rPr>
          <w:sz w:val="28"/>
          <w:szCs w:val="28"/>
        </w:rPr>
        <w:t>of Issue:</w:t>
      </w:r>
      <w:r w:rsidR="00DD2F88" w:rsidRPr="00357F13">
        <w:rPr>
          <w:sz w:val="28"/>
          <w:szCs w:val="28"/>
        </w:rPr>
        <w:t xml:space="preserve"> </w:t>
      </w:r>
      <w:r w:rsidR="00E05157" w:rsidRPr="00357F13">
        <w:rPr>
          <w:sz w:val="28"/>
          <w:szCs w:val="28"/>
        </w:rPr>
        <w:t>0</w:t>
      </w:r>
      <w:r w:rsidR="007C267F">
        <w:rPr>
          <w:sz w:val="28"/>
          <w:szCs w:val="28"/>
        </w:rPr>
        <w:t>8</w:t>
      </w:r>
      <w:r w:rsidR="00E05157" w:rsidRPr="00357F13">
        <w:rPr>
          <w:sz w:val="28"/>
          <w:szCs w:val="28"/>
        </w:rPr>
        <w:t>/07</w:t>
      </w:r>
      <w:r w:rsidR="002711B0" w:rsidRPr="00357F13">
        <w:rPr>
          <w:sz w:val="28"/>
          <w:szCs w:val="28"/>
        </w:rPr>
        <w:t>/</w:t>
      </w:r>
      <w:r w:rsidR="002779CA" w:rsidRPr="00357F13">
        <w:rPr>
          <w:sz w:val="28"/>
          <w:szCs w:val="28"/>
        </w:rPr>
        <w:t>201</w:t>
      </w:r>
      <w:r w:rsidR="002711B0" w:rsidRPr="00357F13">
        <w:rPr>
          <w:sz w:val="28"/>
          <w:szCs w:val="28"/>
        </w:rPr>
        <w:t>9</w:t>
      </w:r>
    </w:p>
    <w:p w:rsidR="006A1F89" w:rsidRPr="00357F13" w:rsidRDefault="00C370BF" w:rsidP="008E26AA">
      <w:pPr>
        <w:tabs>
          <w:tab w:val="left" w:pos="1134"/>
        </w:tabs>
        <w:rPr>
          <w:sz w:val="28"/>
          <w:szCs w:val="28"/>
        </w:rPr>
      </w:pPr>
      <w:r w:rsidRPr="00357F13">
        <w:rPr>
          <w:sz w:val="28"/>
          <w:szCs w:val="28"/>
        </w:rPr>
        <w:t>Edition:</w:t>
      </w:r>
      <w:r w:rsidR="006A1F89" w:rsidRPr="00357F13">
        <w:rPr>
          <w:sz w:val="28"/>
          <w:szCs w:val="28"/>
        </w:rPr>
        <w:t xml:space="preserve"> </w:t>
      </w:r>
      <w:r w:rsidR="006A1F89" w:rsidRPr="00357F13">
        <w:rPr>
          <w:sz w:val="28"/>
          <w:szCs w:val="28"/>
        </w:rPr>
        <w:tab/>
      </w:r>
      <w:r w:rsidR="00A43071" w:rsidRPr="00357F13">
        <w:rPr>
          <w:sz w:val="28"/>
          <w:szCs w:val="28"/>
        </w:rPr>
        <w:t>1</w:t>
      </w:r>
      <w:r w:rsidR="007C267F">
        <w:rPr>
          <w:sz w:val="28"/>
          <w:szCs w:val="28"/>
        </w:rPr>
        <w:t>.1</w:t>
      </w:r>
    </w:p>
    <w:p w:rsidR="00185DD9" w:rsidRPr="00357F13" w:rsidRDefault="006B36CD" w:rsidP="008E26AA">
      <w:pPr>
        <w:tabs>
          <w:tab w:val="left" w:pos="1134"/>
        </w:tabs>
        <w:rPr>
          <w:rStyle w:val="Hyperlink"/>
          <w:color w:val="auto"/>
          <w:sz w:val="32"/>
          <w:szCs w:val="32"/>
        </w:rPr>
      </w:pPr>
      <w:r w:rsidRPr="00357F13">
        <w:rPr>
          <w:sz w:val="28"/>
          <w:szCs w:val="28"/>
        </w:rPr>
        <w:t>Contact:</w:t>
      </w:r>
      <w:r w:rsidRPr="00357F13">
        <w:rPr>
          <w:sz w:val="28"/>
          <w:szCs w:val="28"/>
        </w:rPr>
        <w:tab/>
      </w:r>
      <w:hyperlink r:id="rId13" w:history="1">
        <w:r w:rsidR="00B73DA4" w:rsidRPr="00357F13">
          <w:rPr>
            <w:rStyle w:val="Hyperlink"/>
            <w:color w:val="000000"/>
          </w:rPr>
          <w:t>Lloyds-SBFReturns@lloyds.com</w:t>
        </w:r>
      </w:hyperlink>
    </w:p>
    <w:p w:rsidR="00B32BAF" w:rsidRPr="00357F13" w:rsidRDefault="00B32BAF" w:rsidP="00235165">
      <w:pPr>
        <w:tabs>
          <w:tab w:val="left" w:pos="1134"/>
        </w:tabs>
        <w:rPr>
          <w:rStyle w:val="Hyperlink"/>
          <w:color w:val="auto"/>
          <w:sz w:val="32"/>
          <w:szCs w:val="32"/>
        </w:rPr>
      </w:pPr>
    </w:p>
    <w:p w:rsidR="00D64A46" w:rsidRPr="00357F13" w:rsidRDefault="00D64A46" w:rsidP="008E26AA">
      <w:pPr>
        <w:widowControl w:val="0"/>
        <w:tabs>
          <w:tab w:val="left" w:pos="1134"/>
        </w:tabs>
        <w:ind w:right="144"/>
        <w:rPr>
          <w:rFonts w:cs="Arial"/>
        </w:rPr>
      </w:pPr>
    </w:p>
    <w:p w:rsidR="00B32BAF" w:rsidRPr="00357F13" w:rsidRDefault="00B32BAF" w:rsidP="008E26AA">
      <w:pPr>
        <w:widowControl w:val="0"/>
        <w:tabs>
          <w:tab w:val="left" w:pos="1134"/>
        </w:tabs>
        <w:ind w:right="144"/>
        <w:rPr>
          <w:rFonts w:cs="Arial"/>
          <w:color w:val="FF0000"/>
        </w:rPr>
      </w:pPr>
    </w:p>
    <w:p w:rsidR="00A80907" w:rsidRPr="00357F13" w:rsidRDefault="00A80907" w:rsidP="00A80907">
      <w:pPr>
        <w:widowControl w:val="0"/>
        <w:tabs>
          <w:tab w:val="left" w:pos="1134"/>
        </w:tabs>
        <w:ind w:right="144"/>
        <w:rPr>
          <w:rFonts w:cs="Arial"/>
        </w:rPr>
      </w:pPr>
      <w:r w:rsidRPr="00357F13">
        <w:rPr>
          <w:rFonts w:cs="Arial"/>
        </w:rPr>
        <w:t>Please note that t</w:t>
      </w:r>
      <w:r w:rsidR="00B32BAF" w:rsidRPr="00357F13">
        <w:rPr>
          <w:rFonts w:cs="Arial"/>
        </w:rPr>
        <w:t xml:space="preserve">he </w:t>
      </w:r>
      <w:r w:rsidR="00D42E1D" w:rsidRPr="00357F13">
        <w:rPr>
          <w:rFonts w:cs="Arial"/>
        </w:rPr>
        <w:t xml:space="preserve">SBF instructions </w:t>
      </w:r>
      <w:r w:rsidR="00B32BAF" w:rsidRPr="00357F13">
        <w:rPr>
          <w:rFonts w:cs="Arial"/>
        </w:rPr>
        <w:t>might be amended</w:t>
      </w:r>
      <w:r w:rsidR="00D42E1D" w:rsidRPr="00357F13">
        <w:rPr>
          <w:rFonts w:cs="Arial"/>
        </w:rPr>
        <w:t xml:space="preserve"> </w:t>
      </w:r>
      <w:r w:rsidR="00B32BAF" w:rsidRPr="00357F13">
        <w:rPr>
          <w:rFonts w:cs="Arial"/>
        </w:rPr>
        <w:t xml:space="preserve">during the year to reflect changes in the SBF requirements. If this happens, notifications will be given on the </w:t>
      </w:r>
      <w:r w:rsidR="002711B0" w:rsidRPr="00357F13">
        <w:rPr>
          <w:rFonts w:cs="Arial"/>
        </w:rPr>
        <w:t>Market Data Collections (</w:t>
      </w:r>
      <w:r w:rsidR="002711B0" w:rsidRPr="00357F13">
        <w:t xml:space="preserve">MDC) </w:t>
      </w:r>
      <w:r w:rsidR="002711B0" w:rsidRPr="00357F13">
        <w:rPr>
          <w:rFonts w:cs="Arial"/>
        </w:rPr>
        <w:t>system</w:t>
      </w:r>
      <w:r w:rsidR="00B32BAF" w:rsidRPr="00357F13">
        <w:rPr>
          <w:rFonts w:cs="Arial"/>
        </w:rPr>
        <w:t>.</w:t>
      </w:r>
      <w:r w:rsidR="002711B0" w:rsidRPr="00357F13">
        <w:rPr>
          <w:rFonts w:cs="Arial"/>
        </w:rPr>
        <w:t xml:space="preserve"> </w:t>
      </w:r>
      <w:r w:rsidRPr="00357F13">
        <w:rPr>
          <w:rFonts w:cs="Arial"/>
        </w:rPr>
        <w:t>The latest SBF instructions should be used as a reference to complete the SBF Return.</w:t>
      </w:r>
    </w:p>
    <w:p w:rsidR="00E975BC" w:rsidRPr="00357F13" w:rsidRDefault="00E975BC" w:rsidP="00A80907">
      <w:pPr>
        <w:widowControl w:val="0"/>
        <w:tabs>
          <w:tab w:val="left" w:pos="1134"/>
        </w:tabs>
        <w:ind w:right="144"/>
        <w:rPr>
          <w:rFonts w:cs="Arial"/>
        </w:rPr>
      </w:pPr>
    </w:p>
    <w:p w:rsidR="00E975BC" w:rsidRPr="00357F13" w:rsidRDefault="00E975BC" w:rsidP="00A80907">
      <w:pPr>
        <w:widowControl w:val="0"/>
        <w:tabs>
          <w:tab w:val="left" w:pos="1134"/>
        </w:tabs>
        <w:ind w:right="144"/>
        <w:rPr>
          <w:rFonts w:cs="Arial"/>
        </w:rPr>
      </w:pPr>
    </w:p>
    <w:p w:rsidR="00185DD9" w:rsidRPr="00357F13" w:rsidRDefault="00185DD9">
      <w:pPr>
        <w:rPr>
          <w:rFonts w:cs="Arial"/>
        </w:rPr>
      </w:pPr>
      <w:r w:rsidRPr="00357F13">
        <w:rPr>
          <w:rFonts w:cs="Arial"/>
        </w:rPr>
        <w:br w:type="page"/>
      </w:r>
    </w:p>
    <w:p w:rsidR="00B80515" w:rsidRPr="00357F13" w:rsidRDefault="00B80515" w:rsidP="008E26AA">
      <w:pPr>
        <w:widowControl w:val="0"/>
        <w:tabs>
          <w:tab w:val="left" w:pos="1134"/>
        </w:tabs>
        <w:ind w:right="144"/>
        <w:rPr>
          <w:rFonts w:cs="Arial"/>
        </w:rPr>
      </w:pPr>
    </w:p>
    <w:p w:rsidR="00EE008D" w:rsidRPr="00357F13" w:rsidRDefault="00793899" w:rsidP="008E26AA">
      <w:pPr>
        <w:widowControl w:val="0"/>
        <w:tabs>
          <w:tab w:val="left" w:pos="1134"/>
        </w:tabs>
        <w:ind w:right="144"/>
        <w:rPr>
          <w:rFonts w:cs="Arial"/>
          <w:b/>
          <w:color w:val="FF0000"/>
          <w:sz w:val="40"/>
          <w:szCs w:val="40"/>
        </w:rPr>
      </w:pPr>
      <w:r w:rsidRPr="00357F13">
        <w:rPr>
          <w:rFonts w:cs="Arial"/>
          <w:b/>
          <w:sz w:val="40"/>
          <w:szCs w:val="40"/>
        </w:rPr>
        <w:t>Contents</w:t>
      </w:r>
      <w:r w:rsidR="005F68E7" w:rsidRPr="00357F13">
        <w:rPr>
          <w:rFonts w:cs="Arial"/>
          <w:b/>
          <w:sz w:val="40"/>
          <w:szCs w:val="40"/>
        </w:rPr>
        <w:t xml:space="preserve"> </w:t>
      </w:r>
    </w:p>
    <w:p w:rsidR="00781F19" w:rsidRPr="00357F13" w:rsidRDefault="000B2FD1" w:rsidP="001F61DD">
      <w:pPr>
        <w:pStyle w:val="TOC1"/>
        <w:rPr>
          <w:rStyle w:val="Hyperlink"/>
        </w:rPr>
      </w:pPr>
      <w:r w:rsidRPr="00357F13">
        <w:rPr>
          <w:sz w:val="22"/>
          <w:szCs w:val="22"/>
        </w:rPr>
        <w:fldChar w:fldCharType="begin"/>
      </w:r>
      <w:r w:rsidRPr="00357F13">
        <w:rPr>
          <w:sz w:val="22"/>
          <w:szCs w:val="22"/>
        </w:rPr>
        <w:instrText xml:space="preserve"> TOC \o "1-1" \h \z \u </w:instrText>
      </w:r>
      <w:r w:rsidRPr="00357F13">
        <w:rPr>
          <w:sz w:val="22"/>
          <w:szCs w:val="22"/>
        </w:rPr>
        <w:fldChar w:fldCharType="separate"/>
      </w:r>
      <w:hyperlink w:anchor="_Toc452126151" w:history="1">
        <w:r w:rsidR="00781F19" w:rsidRPr="00357F13">
          <w:rPr>
            <w:rStyle w:val="Hyperlink"/>
            <w:noProof/>
          </w:rPr>
          <w:t>1</w:t>
        </w:r>
        <w:r w:rsidR="00781F19" w:rsidRPr="00357F13">
          <w:rPr>
            <w:rStyle w:val="Hyperlink"/>
          </w:rPr>
          <w:tab/>
        </w:r>
        <w:r w:rsidR="00781F19" w:rsidRPr="00357F13">
          <w:rPr>
            <w:rStyle w:val="Hyperlink"/>
            <w:noProof/>
          </w:rPr>
          <w:t>GENERAL INSTRUCTIONS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_Toc452126151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3</w:t>
        </w:r>
        <w:r w:rsidR="00781F19" w:rsidRPr="00357F13">
          <w:rPr>
            <w:rStyle w:val="Hyperlink"/>
            <w:webHidden/>
          </w:rPr>
          <w:fldChar w:fldCharType="end"/>
        </w:r>
      </w:hyperlink>
    </w:p>
    <w:p w:rsidR="00781F19" w:rsidRPr="00357F13" w:rsidRDefault="00CA3299">
      <w:pPr>
        <w:pStyle w:val="TOC1"/>
        <w:rPr>
          <w:rStyle w:val="Hyperlink"/>
        </w:rPr>
      </w:pPr>
      <w:hyperlink w:anchor="_Toc452126152" w:history="1">
        <w:r w:rsidR="00781F19" w:rsidRPr="00357F13">
          <w:rPr>
            <w:rStyle w:val="Hyperlink"/>
            <w:noProof/>
          </w:rPr>
          <w:t>2</w:t>
        </w:r>
        <w:r w:rsidR="00781F19" w:rsidRPr="00357F13">
          <w:rPr>
            <w:rStyle w:val="Hyperlink"/>
          </w:rPr>
          <w:tab/>
        </w:r>
        <w:r w:rsidR="00781F19" w:rsidRPr="00357F13">
          <w:rPr>
            <w:rStyle w:val="Hyperlink"/>
            <w:noProof/>
          </w:rPr>
          <w:t>BASIS OF PREPARATION</w:t>
        </w:r>
        <w:r w:rsidR="00781F19" w:rsidRPr="00357F13">
          <w:rPr>
            <w:rStyle w:val="Hyperlink"/>
            <w:webHidden/>
          </w:rPr>
          <w:tab/>
        </w:r>
      </w:hyperlink>
      <w:r w:rsidR="0093182A" w:rsidRPr="00357F13">
        <w:rPr>
          <w:rStyle w:val="Hyperlink"/>
          <w:color w:val="auto"/>
          <w:u w:val="none"/>
        </w:rPr>
        <w:t>5</w:t>
      </w:r>
    </w:p>
    <w:p w:rsidR="00781F19" w:rsidRPr="00357F13" w:rsidRDefault="00CA3299">
      <w:pPr>
        <w:pStyle w:val="TOC1"/>
        <w:rPr>
          <w:rStyle w:val="Hyperlink"/>
        </w:rPr>
      </w:pPr>
      <w:hyperlink w:anchor="_Toc452126164" w:history="1">
        <w:r w:rsidR="00781F19" w:rsidRPr="00357F13">
          <w:rPr>
            <w:rStyle w:val="Hyperlink"/>
            <w:noProof/>
          </w:rPr>
          <w:t>3</w:t>
        </w:r>
        <w:r w:rsidR="00781F19" w:rsidRPr="00357F13">
          <w:rPr>
            <w:rStyle w:val="Hyperlink"/>
          </w:rPr>
          <w:tab/>
        </w:r>
        <w:r w:rsidR="00781F19" w:rsidRPr="00357F13">
          <w:rPr>
            <w:rStyle w:val="Hyperlink"/>
            <w:noProof/>
          </w:rPr>
          <w:t>SBF010 CONTROL PAGE</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_Toc452126164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7</w:t>
        </w:r>
        <w:r w:rsidR="00781F19" w:rsidRPr="00357F13">
          <w:rPr>
            <w:rStyle w:val="Hyperlink"/>
            <w:webHidden/>
          </w:rPr>
          <w:fldChar w:fldCharType="end"/>
        </w:r>
      </w:hyperlink>
    </w:p>
    <w:p w:rsidR="00781F19" w:rsidRPr="00357F13" w:rsidRDefault="00CA3299">
      <w:pPr>
        <w:pStyle w:val="TOC1"/>
        <w:rPr>
          <w:rStyle w:val="Hyperlink"/>
        </w:rPr>
      </w:pPr>
      <w:hyperlink w:anchor="_Toc452126165" w:history="1">
        <w:r w:rsidR="00781F19" w:rsidRPr="00357F13">
          <w:rPr>
            <w:rStyle w:val="Hyperlink"/>
            <w:noProof/>
          </w:rPr>
          <w:t>4</w:t>
        </w:r>
        <w:r w:rsidR="00781F19" w:rsidRPr="00357F13">
          <w:rPr>
            <w:rStyle w:val="Hyperlink"/>
          </w:rPr>
          <w:tab/>
        </w:r>
        <w:r w:rsidR="00781F19" w:rsidRPr="00357F13">
          <w:rPr>
            <w:rStyle w:val="Hyperlink"/>
            <w:noProof/>
          </w:rPr>
          <w:t>SBF020 EXCHANGE RATES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_Toc452126165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7</w:t>
        </w:r>
        <w:r w:rsidR="00781F19" w:rsidRPr="00357F13">
          <w:rPr>
            <w:rStyle w:val="Hyperlink"/>
            <w:webHidden/>
          </w:rPr>
          <w:fldChar w:fldCharType="end"/>
        </w:r>
      </w:hyperlink>
    </w:p>
    <w:p w:rsidR="00781F19" w:rsidRPr="00357F13" w:rsidRDefault="00CA3299">
      <w:pPr>
        <w:pStyle w:val="TOC1"/>
        <w:rPr>
          <w:rStyle w:val="Hyperlink"/>
        </w:rPr>
      </w:pPr>
      <w:hyperlink w:anchor="_Toc452126166" w:history="1">
        <w:r w:rsidR="00781F19" w:rsidRPr="00357F13">
          <w:rPr>
            <w:rStyle w:val="Hyperlink"/>
            <w:noProof/>
          </w:rPr>
          <w:t>5</w:t>
        </w:r>
        <w:r w:rsidR="00781F19" w:rsidRPr="00357F13">
          <w:rPr>
            <w:rStyle w:val="Hyperlink"/>
          </w:rPr>
          <w:tab/>
        </w:r>
        <w:r w:rsidR="00781F19" w:rsidRPr="00357F13">
          <w:rPr>
            <w:rStyle w:val="Hyperlink"/>
            <w:noProof/>
          </w:rPr>
          <w:t>SBF050 CLASS OF BUSINESS DESCRIPTIONS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_Toc452126166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8</w:t>
        </w:r>
        <w:r w:rsidR="00781F19" w:rsidRPr="00357F13">
          <w:rPr>
            <w:rStyle w:val="Hyperlink"/>
            <w:webHidden/>
          </w:rPr>
          <w:fldChar w:fldCharType="end"/>
        </w:r>
      </w:hyperlink>
    </w:p>
    <w:p w:rsidR="00781F19" w:rsidRPr="00357F13" w:rsidRDefault="00CA3299">
      <w:pPr>
        <w:pStyle w:val="TOC1"/>
        <w:rPr>
          <w:rStyle w:val="Hyperlink"/>
        </w:rPr>
      </w:pPr>
      <w:hyperlink w:anchor="_Toc452126167" w:history="1">
        <w:r w:rsidR="00781F19" w:rsidRPr="00357F13">
          <w:rPr>
            <w:rStyle w:val="Hyperlink"/>
            <w:noProof/>
          </w:rPr>
          <w:t>6</w:t>
        </w:r>
        <w:r w:rsidR="00781F19" w:rsidRPr="00357F13">
          <w:rPr>
            <w:rStyle w:val="Hyperlink"/>
          </w:rPr>
          <w:tab/>
        </w:r>
        <w:r w:rsidR="00781F19" w:rsidRPr="00357F13">
          <w:rPr>
            <w:rStyle w:val="Hyperlink"/>
            <w:noProof/>
          </w:rPr>
          <w:t>SBF051 RISK CODE MAPPING OF CLASSES OF BUSINESS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_Toc452126167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9</w:t>
        </w:r>
        <w:r w:rsidR="00781F19" w:rsidRPr="00357F13">
          <w:rPr>
            <w:rStyle w:val="Hyperlink"/>
            <w:webHidden/>
          </w:rPr>
          <w:fldChar w:fldCharType="end"/>
        </w:r>
      </w:hyperlink>
    </w:p>
    <w:p w:rsidR="00781F19" w:rsidRPr="00357F13" w:rsidRDefault="00CA3299">
      <w:pPr>
        <w:pStyle w:val="TOC1"/>
        <w:rPr>
          <w:rStyle w:val="Hyperlink"/>
        </w:rPr>
      </w:pPr>
      <w:hyperlink w:anchor="_Toc452126168" w:history="1">
        <w:r w:rsidR="00781F19" w:rsidRPr="00357F13">
          <w:rPr>
            <w:rStyle w:val="Hyperlink"/>
            <w:noProof/>
          </w:rPr>
          <w:t>7</w:t>
        </w:r>
        <w:r w:rsidR="00781F19" w:rsidRPr="00357F13">
          <w:rPr>
            <w:rStyle w:val="Hyperlink"/>
          </w:rPr>
          <w:tab/>
        </w:r>
        <w:r w:rsidR="00781F19" w:rsidRPr="00357F13">
          <w:rPr>
            <w:rStyle w:val="Hyperlink"/>
            <w:noProof/>
          </w:rPr>
          <w:t>SBF100 FORECAST TECHNICAL ACCOUNT and SBF100s FORECAST TECHNICAL ACCOUNT SUMMARY FOR ALL DISTRIBUTION CHANNELS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_Toc452126168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w:t>
        </w:r>
        <w:r w:rsidR="00781F19" w:rsidRPr="00357F13">
          <w:rPr>
            <w:rStyle w:val="Hyperlink"/>
            <w:webHidden/>
          </w:rPr>
          <w:fldChar w:fldCharType="end"/>
        </w:r>
      </w:hyperlink>
      <w:r w:rsidR="00C766E6" w:rsidRPr="00357F13">
        <w:rPr>
          <w:rStyle w:val="Hyperlink"/>
          <w:color w:val="auto"/>
          <w:u w:val="none"/>
        </w:rPr>
        <w:t>0</w:t>
      </w:r>
    </w:p>
    <w:p w:rsidR="00781F19" w:rsidRPr="00357F13" w:rsidRDefault="00CA3299">
      <w:pPr>
        <w:pStyle w:val="TOC1"/>
        <w:rPr>
          <w:rStyle w:val="Hyperlink"/>
        </w:rPr>
      </w:pPr>
      <w:hyperlink w:anchor="_Toc452126169" w:history="1">
        <w:r w:rsidR="00781F19" w:rsidRPr="00357F13">
          <w:rPr>
            <w:rStyle w:val="Hyperlink"/>
            <w:noProof/>
          </w:rPr>
          <w:t>8</w:t>
        </w:r>
        <w:r w:rsidR="00781F19" w:rsidRPr="00357F13">
          <w:rPr>
            <w:rStyle w:val="Hyperlink"/>
          </w:rPr>
          <w:tab/>
        </w:r>
        <w:r w:rsidR="00781F19" w:rsidRPr="00357F13">
          <w:rPr>
            <w:rStyle w:val="Hyperlink"/>
            <w:noProof/>
          </w:rPr>
          <w:t>SBF105 UNDERWRITING YEAR OF ACCOUNT PERFORMANCE FORECAST and SBF105S UNDERWRITING YEAR OF ACCOUNT PERFORMANCE FORECAST SUMMARY FOR ALL DISTRIBUTION CHANNELS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_Toc452126169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13</w:t>
        </w:r>
        <w:r w:rsidR="00781F19" w:rsidRPr="00357F13">
          <w:rPr>
            <w:rStyle w:val="Hyperlink"/>
            <w:webHidden/>
          </w:rPr>
          <w:fldChar w:fldCharType="end"/>
        </w:r>
      </w:hyperlink>
    </w:p>
    <w:p w:rsidR="00781F19" w:rsidRPr="00357F13" w:rsidRDefault="00CA3299">
      <w:pPr>
        <w:pStyle w:val="TOC1"/>
        <w:rPr>
          <w:rStyle w:val="Hyperlink"/>
        </w:rPr>
      </w:pPr>
      <w:hyperlink w:anchor="_Toc452126170" w:history="1">
        <w:r w:rsidR="00781F19" w:rsidRPr="00357F13">
          <w:rPr>
            <w:rStyle w:val="Hyperlink"/>
            <w:noProof/>
          </w:rPr>
          <w:t>9</w:t>
        </w:r>
        <w:r w:rsidR="00781F19" w:rsidRPr="00357F13">
          <w:rPr>
            <w:rStyle w:val="Hyperlink"/>
          </w:rPr>
          <w:tab/>
        </w:r>
        <w:r w:rsidR="00781F19" w:rsidRPr="00357F13">
          <w:rPr>
            <w:rStyle w:val="Hyperlink"/>
            <w:noProof/>
          </w:rPr>
          <w:t>SBF116 PREMIUM INCOME DEVELOPMENT</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_Toc452126170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15</w:t>
        </w:r>
        <w:r w:rsidR="00781F19" w:rsidRPr="00357F13">
          <w:rPr>
            <w:rStyle w:val="Hyperlink"/>
            <w:webHidden/>
          </w:rPr>
          <w:fldChar w:fldCharType="end"/>
        </w:r>
      </w:hyperlink>
    </w:p>
    <w:p w:rsidR="00781F19" w:rsidRPr="00357F13" w:rsidRDefault="00CA3299">
      <w:pPr>
        <w:pStyle w:val="TOC1"/>
        <w:rPr>
          <w:rStyle w:val="Hyperlink"/>
        </w:rPr>
      </w:pPr>
      <w:hyperlink w:anchor="_Toc452126171" w:history="1">
        <w:r w:rsidR="00781F19" w:rsidRPr="00357F13">
          <w:rPr>
            <w:rStyle w:val="Hyperlink"/>
            <w:noProof/>
          </w:rPr>
          <w:t>10</w:t>
        </w:r>
        <w:r w:rsidR="00781F19" w:rsidRPr="00357F13">
          <w:rPr>
            <w:rStyle w:val="Hyperlink"/>
          </w:rPr>
          <w:tab/>
        </w:r>
        <w:r w:rsidR="00781F19" w:rsidRPr="00357F13">
          <w:rPr>
            <w:rStyle w:val="Hyperlink"/>
            <w:noProof/>
          </w:rPr>
          <w:t>SBF117 LOSS RATIO COMPOSITION</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_Toc452126171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16</w:t>
        </w:r>
        <w:r w:rsidR="00781F19" w:rsidRPr="00357F13">
          <w:rPr>
            <w:rStyle w:val="Hyperlink"/>
            <w:webHidden/>
          </w:rPr>
          <w:fldChar w:fldCharType="end"/>
        </w:r>
      </w:hyperlink>
    </w:p>
    <w:p w:rsidR="00781F19" w:rsidRPr="00357F13" w:rsidRDefault="00CA3299">
      <w:pPr>
        <w:pStyle w:val="TOC1"/>
        <w:rPr>
          <w:rStyle w:val="Hyperlink"/>
        </w:rPr>
      </w:pPr>
      <w:hyperlink w:anchor="_Toc452126172" w:history="1">
        <w:r w:rsidR="00781F19" w:rsidRPr="00357F13">
          <w:rPr>
            <w:rStyle w:val="Hyperlink"/>
            <w:bCs w:val="0"/>
            <w:caps w:val="0"/>
            <w:noProof/>
          </w:rPr>
          <w:t>11</w:t>
        </w:r>
        <w:r w:rsidR="00781F19" w:rsidRPr="00357F13">
          <w:rPr>
            <w:rStyle w:val="Hyperlink"/>
          </w:rPr>
          <w:tab/>
        </w:r>
        <w:r w:rsidR="00781F19" w:rsidRPr="00357F13">
          <w:rPr>
            <w:rStyle w:val="Hyperlink"/>
            <w:bCs w:val="0"/>
            <w:caps w:val="0"/>
            <w:noProof/>
          </w:rPr>
          <w:t>SBF118 LOSS RATIO BRIDGING ANALYSIS</w:t>
        </w:r>
        <w:r w:rsidR="00781F19" w:rsidRPr="00357F13">
          <w:rPr>
            <w:rStyle w:val="Hyperlink"/>
            <w:bCs w:val="0"/>
            <w:caps w:val="0"/>
            <w:webHidden/>
          </w:rPr>
          <w:tab/>
        </w:r>
        <w:r w:rsidR="00781F19" w:rsidRPr="00357F13">
          <w:rPr>
            <w:rStyle w:val="Hyperlink"/>
            <w:bCs w:val="0"/>
            <w:caps w:val="0"/>
            <w:webHidden/>
          </w:rPr>
          <w:fldChar w:fldCharType="begin"/>
        </w:r>
        <w:r w:rsidR="00781F19" w:rsidRPr="00357F13">
          <w:rPr>
            <w:rStyle w:val="Hyperlink"/>
            <w:bCs w:val="0"/>
            <w:caps w:val="0"/>
            <w:webHidden/>
          </w:rPr>
          <w:instrText xml:space="preserve"> PAGEREF _Toc452126172 \h </w:instrText>
        </w:r>
        <w:r w:rsidR="00781F19" w:rsidRPr="00357F13">
          <w:rPr>
            <w:rStyle w:val="Hyperlink"/>
            <w:bCs w:val="0"/>
            <w:caps w:val="0"/>
            <w:webHidden/>
          </w:rPr>
        </w:r>
        <w:r w:rsidR="00781F19" w:rsidRPr="00357F13">
          <w:rPr>
            <w:rStyle w:val="Hyperlink"/>
            <w:bCs w:val="0"/>
            <w:caps w:val="0"/>
            <w:webHidden/>
          </w:rPr>
          <w:fldChar w:fldCharType="separate"/>
        </w:r>
        <w:r w:rsidR="001F61DD" w:rsidRPr="00357F13">
          <w:rPr>
            <w:rStyle w:val="Hyperlink"/>
            <w:bCs w:val="0"/>
            <w:caps w:val="0"/>
            <w:noProof/>
            <w:webHidden/>
          </w:rPr>
          <w:t>16</w:t>
        </w:r>
        <w:r w:rsidR="00781F19" w:rsidRPr="00357F13">
          <w:rPr>
            <w:rStyle w:val="Hyperlink"/>
            <w:bCs w:val="0"/>
            <w:caps w:val="0"/>
            <w:webHidden/>
          </w:rPr>
          <w:fldChar w:fldCharType="end"/>
        </w:r>
      </w:hyperlink>
    </w:p>
    <w:p w:rsidR="00781F19" w:rsidRPr="00357F13" w:rsidRDefault="00CA3299">
      <w:pPr>
        <w:pStyle w:val="TOC1"/>
        <w:rPr>
          <w:rStyle w:val="Hyperlink"/>
        </w:rPr>
      </w:pPr>
      <w:hyperlink w:anchor="_Toc452126175" w:history="1">
        <w:r w:rsidR="00781F19" w:rsidRPr="00357F13">
          <w:rPr>
            <w:rStyle w:val="Hyperlink"/>
            <w:noProof/>
          </w:rPr>
          <w:t>1</w:t>
        </w:r>
        <w:r w:rsidR="007D43E6" w:rsidRPr="00357F13">
          <w:rPr>
            <w:rStyle w:val="Hyperlink"/>
            <w:noProof/>
          </w:rPr>
          <w:t>2</w:t>
        </w:r>
        <w:r w:rsidR="00781F19" w:rsidRPr="00357F13">
          <w:rPr>
            <w:rStyle w:val="Hyperlink"/>
          </w:rPr>
          <w:tab/>
        </w:r>
        <w:r w:rsidR="00781F19" w:rsidRPr="00357F13">
          <w:rPr>
            <w:rStyle w:val="Hyperlink"/>
            <w:noProof/>
          </w:rPr>
          <w:t>SBF164 BUSINESS COMPOSITION BY TYPE OF PLACEMENT</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_Toc452126175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17</w:t>
        </w:r>
        <w:r w:rsidR="00781F19" w:rsidRPr="00357F13">
          <w:rPr>
            <w:rStyle w:val="Hyperlink"/>
            <w:webHidden/>
          </w:rPr>
          <w:fldChar w:fldCharType="end"/>
        </w:r>
      </w:hyperlink>
    </w:p>
    <w:p w:rsidR="00781F19" w:rsidRPr="00357F13" w:rsidRDefault="00CA3299">
      <w:pPr>
        <w:pStyle w:val="TOC1"/>
        <w:rPr>
          <w:rStyle w:val="Hyperlink"/>
        </w:rPr>
      </w:pPr>
      <w:hyperlink w:anchor="_Toc452126176" w:history="1">
        <w:r w:rsidR="00781F19" w:rsidRPr="00357F13">
          <w:rPr>
            <w:rStyle w:val="Hyperlink"/>
            <w:noProof/>
          </w:rPr>
          <w:t>1</w:t>
        </w:r>
        <w:r w:rsidR="007D43E6" w:rsidRPr="00357F13">
          <w:rPr>
            <w:rStyle w:val="Hyperlink"/>
            <w:noProof/>
          </w:rPr>
          <w:t>3</w:t>
        </w:r>
        <w:r w:rsidR="00781F19" w:rsidRPr="00357F13">
          <w:rPr>
            <w:rStyle w:val="Hyperlink"/>
          </w:rPr>
          <w:tab/>
        </w:r>
        <w:r w:rsidR="00781F19" w:rsidRPr="00357F13">
          <w:rPr>
            <w:rStyle w:val="Hyperlink"/>
            <w:noProof/>
          </w:rPr>
          <w:t>SBF167 PREMIUM INCOME SPLIT BY RISK CODE</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_Toc452126176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18</w:t>
        </w:r>
        <w:r w:rsidR="00781F19" w:rsidRPr="00357F13">
          <w:rPr>
            <w:rStyle w:val="Hyperlink"/>
            <w:webHidden/>
          </w:rPr>
          <w:fldChar w:fldCharType="end"/>
        </w:r>
      </w:hyperlink>
    </w:p>
    <w:p w:rsidR="00781F19" w:rsidRPr="00357F13" w:rsidRDefault="00CA3299">
      <w:pPr>
        <w:pStyle w:val="TOC1"/>
        <w:rPr>
          <w:rStyle w:val="Hyperlink"/>
        </w:rPr>
      </w:pPr>
      <w:hyperlink w:anchor="_Toc452126179" w:history="1">
        <w:r w:rsidR="00781F19" w:rsidRPr="00357F13">
          <w:rPr>
            <w:rStyle w:val="Hyperlink"/>
            <w:noProof/>
          </w:rPr>
          <w:t>1</w:t>
        </w:r>
        <w:r w:rsidR="007D43E6" w:rsidRPr="00357F13">
          <w:rPr>
            <w:rStyle w:val="Hyperlink"/>
            <w:noProof/>
          </w:rPr>
          <w:t>4</w:t>
        </w:r>
        <w:r w:rsidR="00781F19" w:rsidRPr="00357F13">
          <w:rPr>
            <w:rStyle w:val="Hyperlink"/>
          </w:rPr>
          <w:tab/>
        </w:r>
        <w:r w:rsidR="00781F19" w:rsidRPr="00357F13">
          <w:rPr>
            <w:rStyle w:val="Hyperlink"/>
            <w:noProof/>
          </w:rPr>
          <w:t>SBF184 PREMIUM BRIDGING ANALYSIS (GROSS RARC)</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_Toc452126179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18</w:t>
        </w:r>
        <w:r w:rsidR="00781F19" w:rsidRPr="00357F13">
          <w:rPr>
            <w:rStyle w:val="Hyperlink"/>
            <w:webHidden/>
          </w:rPr>
          <w:fldChar w:fldCharType="end"/>
        </w:r>
      </w:hyperlink>
    </w:p>
    <w:p w:rsidR="00781F19" w:rsidRPr="00357F13" w:rsidRDefault="00CA3299">
      <w:pPr>
        <w:pStyle w:val="TOC1"/>
        <w:rPr>
          <w:rStyle w:val="Hyperlink"/>
        </w:rPr>
      </w:pPr>
      <w:hyperlink w:anchor="_Toc452126181" w:history="1">
        <w:r w:rsidR="007D43E6" w:rsidRPr="00357F13">
          <w:rPr>
            <w:rStyle w:val="Hyperlink"/>
            <w:noProof/>
          </w:rPr>
          <w:t>15</w:t>
        </w:r>
        <w:r w:rsidR="00781F19" w:rsidRPr="00357F13">
          <w:rPr>
            <w:rStyle w:val="Hyperlink"/>
          </w:rPr>
          <w:tab/>
        </w:r>
        <w:r w:rsidR="00781F19" w:rsidRPr="00357F13">
          <w:rPr>
            <w:rStyle w:val="Hyperlink"/>
            <w:noProof/>
          </w:rPr>
          <w:t>SBF420 CAPACITY INFORMATION</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_Toc452126181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19</w:t>
        </w:r>
        <w:r w:rsidR="00781F19" w:rsidRPr="00357F13">
          <w:rPr>
            <w:rStyle w:val="Hyperlink"/>
            <w:webHidden/>
          </w:rPr>
          <w:fldChar w:fldCharType="end"/>
        </w:r>
      </w:hyperlink>
    </w:p>
    <w:p w:rsidR="00781F19" w:rsidRPr="00357F13" w:rsidRDefault="00CA3299">
      <w:pPr>
        <w:pStyle w:val="TOC1"/>
        <w:rPr>
          <w:rStyle w:val="Hyperlink"/>
        </w:rPr>
      </w:pPr>
      <w:hyperlink w:anchor="_Toc452126182" w:history="1">
        <w:r w:rsidR="007D43E6" w:rsidRPr="00357F13">
          <w:rPr>
            <w:rStyle w:val="Hyperlink"/>
            <w:noProof/>
          </w:rPr>
          <w:t>16</w:t>
        </w:r>
        <w:r w:rsidR="00781F19" w:rsidRPr="00357F13">
          <w:rPr>
            <w:rStyle w:val="Hyperlink"/>
          </w:rPr>
          <w:tab/>
        </w:r>
        <w:r w:rsidR="00781F19" w:rsidRPr="00357F13">
          <w:rPr>
            <w:rStyle w:val="Hyperlink"/>
            <w:noProof/>
          </w:rPr>
          <w:t>SBF443 UNDERWRITING CONTROLS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_Toc452126182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20</w:t>
        </w:r>
        <w:r w:rsidR="00781F19" w:rsidRPr="00357F13">
          <w:rPr>
            <w:rStyle w:val="Hyperlink"/>
            <w:webHidden/>
          </w:rPr>
          <w:fldChar w:fldCharType="end"/>
        </w:r>
      </w:hyperlink>
    </w:p>
    <w:p w:rsidR="00781F19" w:rsidRPr="00357F13" w:rsidRDefault="00CA3299">
      <w:pPr>
        <w:pStyle w:val="TOC1"/>
        <w:rPr>
          <w:rStyle w:val="Hyperlink"/>
        </w:rPr>
      </w:pPr>
      <w:hyperlink w:anchor="_Toc452126183" w:history="1">
        <w:r w:rsidR="007D43E6" w:rsidRPr="00357F13">
          <w:rPr>
            <w:rStyle w:val="Hyperlink"/>
            <w:noProof/>
          </w:rPr>
          <w:t>17</w:t>
        </w:r>
        <w:r w:rsidR="00781F19" w:rsidRPr="00357F13">
          <w:rPr>
            <w:rStyle w:val="Hyperlink"/>
          </w:rPr>
          <w:tab/>
        </w:r>
        <w:r w:rsidR="00781F19" w:rsidRPr="00357F13">
          <w:rPr>
            <w:rStyle w:val="Hyperlink"/>
            <w:noProof/>
          </w:rPr>
          <w:t>SBF452 CATASTROPHE RISK</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_Toc452126183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22</w:t>
        </w:r>
        <w:r w:rsidR="00781F19" w:rsidRPr="00357F13">
          <w:rPr>
            <w:rStyle w:val="Hyperlink"/>
            <w:webHidden/>
          </w:rPr>
          <w:fldChar w:fldCharType="end"/>
        </w:r>
      </w:hyperlink>
    </w:p>
    <w:p w:rsidR="00781F19" w:rsidRPr="00357F13" w:rsidRDefault="00CA3299">
      <w:pPr>
        <w:pStyle w:val="TOC1"/>
        <w:rPr>
          <w:rStyle w:val="Hyperlink"/>
          <w:noProof/>
        </w:rPr>
      </w:pPr>
      <w:hyperlink w:anchor="_Toc452126184" w:history="1">
        <w:r w:rsidR="007D43E6" w:rsidRPr="00357F13">
          <w:rPr>
            <w:rStyle w:val="Hyperlink"/>
            <w:noProof/>
          </w:rPr>
          <w:t>18</w:t>
        </w:r>
        <w:r w:rsidR="00781F19" w:rsidRPr="00357F13">
          <w:rPr>
            <w:rStyle w:val="Hyperlink"/>
          </w:rPr>
          <w:tab/>
        </w:r>
        <w:r w:rsidR="00E65596" w:rsidRPr="00357F13">
          <w:rPr>
            <w:rStyle w:val="Hyperlink"/>
            <w:noProof/>
          </w:rPr>
          <w:t>SBF</w:t>
        </w:r>
        <w:r w:rsidR="00781F19" w:rsidRPr="00357F13">
          <w:rPr>
            <w:rStyle w:val="Hyperlink"/>
            <w:noProof/>
          </w:rPr>
          <w:t>730 OUTWARDS REINSURANCE PREMIUMS (including Fac.)</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_Toc452126184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23</w:t>
        </w:r>
        <w:r w:rsidR="00781F19" w:rsidRPr="00357F13">
          <w:rPr>
            <w:rStyle w:val="Hyperlink"/>
            <w:webHidden/>
          </w:rPr>
          <w:fldChar w:fldCharType="end"/>
        </w:r>
      </w:hyperlink>
    </w:p>
    <w:p w:rsidR="00F52A42" w:rsidRPr="00357F13" w:rsidRDefault="00862809" w:rsidP="00235165">
      <w:pPr>
        <w:pStyle w:val="TOC1"/>
        <w:rPr>
          <w:rStyle w:val="Hyperlink"/>
          <w:b w:val="0"/>
          <w:bCs w:val="0"/>
          <w:caps w:val="0"/>
          <w:u w:val="none"/>
        </w:rPr>
      </w:pPr>
      <w:r w:rsidRPr="00357F13">
        <w:rPr>
          <w:rStyle w:val="Hyperlink"/>
          <w:color w:val="auto"/>
          <w:u w:val="none"/>
        </w:rPr>
        <w:t>19</w:t>
      </w:r>
      <w:r w:rsidR="00F52A42" w:rsidRPr="00357F13">
        <w:rPr>
          <w:rStyle w:val="Hyperlink"/>
          <w:color w:val="auto"/>
          <w:u w:val="none"/>
        </w:rPr>
        <w:t xml:space="preserve">  </w:t>
      </w:r>
      <w:r w:rsidRPr="00357F13">
        <w:rPr>
          <w:rStyle w:val="Hyperlink"/>
          <w:color w:val="auto"/>
          <w:u w:val="none"/>
        </w:rPr>
        <w:tab/>
      </w:r>
      <w:r w:rsidR="00E65596" w:rsidRPr="00357F13">
        <w:rPr>
          <w:rStyle w:val="Hyperlink"/>
          <w:color w:val="auto"/>
          <w:u w:val="none"/>
        </w:rPr>
        <w:t>SBF990 REQUIRED ADDITIONAL INFORMATION SUMMARY……………………</w:t>
      </w:r>
      <w:r w:rsidRPr="00357F13">
        <w:rPr>
          <w:rStyle w:val="Hyperlink"/>
          <w:color w:val="auto"/>
          <w:u w:val="none"/>
        </w:rPr>
        <w:tab/>
      </w:r>
      <w:r w:rsidR="00C766E6" w:rsidRPr="00357F13">
        <w:rPr>
          <w:rStyle w:val="Hyperlink"/>
          <w:color w:val="auto"/>
          <w:u w:val="none"/>
        </w:rPr>
        <w:t>26</w:t>
      </w:r>
    </w:p>
    <w:p w:rsidR="00781F19" w:rsidRPr="00357F13" w:rsidRDefault="00CA3299">
      <w:pPr>
        <w:pStyle w:val="TOC1"/>
        <w:rPr>
          <w:rStyle w:val="Hyperlink"/>
        </w:rPr>
      </w:pPr>
      <w:hyperlink w:anchor="_Toc452126186" w:history="1">
        <w:r w:rsidR="00781F19" w:rsidRPr="00357F13">
          <w:rPr>
            <w:rStyle w:val="Hyperlink"/>
            <w:noProof/>
          </w:rPr>
          <w:t>2</w:t>
        </w:r>
        <w:r w:rsidR="00862809" w:rsidRPr="00357F13">
          <w:rPr>
            <w:rStyle w:val="Hyperlink"/>
            <w:noProof/>
          </w:rPr>
          <w:t>0</w:t>
        </w:r>
        <w:r w:rsidR="00781F19" w:rsidRPr="00357F13">
          <w:rPr>
            <w:rStyle w:val="Hyperlink"/>
          </w:rPr>
          <w:tab/>
        </w:r>
        <w:r w:rsidR="00781F19" w:rsidRPr="00357F13">
          <w:rPr>
            <w:rStyle w:val="Hyperlink"/>
            <w:noProof/>
          </w:rPr>
          <w:t>Franchise Guideline Dispensations</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_Toc452126186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29</w:t>
        </w:r>
        <w:r w:rsidR="00781F19" w:rsidRPr="00357F13">
          <w:rPr>
            <w:rStyle w:val="Hyperlink"/>
            <w:webHidden/>
          </w:rPr>
          <w:fldChar w:fldCharType="end"/>
        </w:r>
      </w:hyperlink>
    </w:p>
    <w:p w:rsidR="00781F19" w:rsidRPr="00357F13" w:rsidRDefault="00CA3299">
      <w:pPr>
        <w:pStyle w:val="TOC1"/>
        <w:rPr>
          <w:rStyle w:val="Hyperlink"/>
        </w:rPr>
      </w:pPr>
      <w:hyperlink w:anchor="_Toc452126187" w:history="1">
        <w:r w:rsidR="00781F19" w:rsidRPr="00357F13">
          <w:rPr>
            <w:rStyle w:val="Hyperlink"/>
            <w:noProof/>
          </w:rPr>
          <w:t>2</w:t>
        </w:r>
        <w:r w:rsidR="00862809" w:rsidRPr="00357F13">
          <w:rPr>
            <w:rStyle w:val="Hyperlink"/>
            <w:noProof/>
          </w:rPr>
          <w:t>1</w:t>
        </w:r>
        <w:r w:rsidR="00781F19" w:rsidRPr="00357F13">
          <w:rPr>
            <w:rStyle w:val="Hyperlink"/>
          </w:rPr>
          <w:tab/>
        </w:r>
        <w:r w:rsidR="00781F19" w:rsidRPr="00357F13">
          <w:rPr>
            <w:rStyle w:val="Hyperlink"/>
            <w:noProof/>
          </w:rPr>
          <w:t>COUNTRY LISTING</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_Toc452126187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33</w:t>
        </w:r>
        <w:r w:rsidR="00781F19" w:rsidRPr="00357F13">
          <w:rPr>
            <w:rStyle w:val="Hyperlink"/>
            <w:webHidden/>
          </w:rPr>
          <w:fldChar w:fldCharType="end"/>
        </w:r>
      </w:hyperlink>
    </w:p>
    <w:p w:rsidR="00781F19" w:rsidRPr="00357F13" w:rsidRDefault="00CA3299">
      <w:pPr>
        <w:pStyle w:val="TOC1"/>
        <w:rPr>
          <w:rStyle w:val="Hyperlink"/>
        </w:rPr>
      </w:pPr>
      <w:hyperlink w:anchor="_Toc452126188" w:history="1">
        <w:r w:rsidR="00781F19" w:rsidRPr="00357F13">
          <w:rPr>
            <w:rStyle w:val="Hyperlink"/>
            <w:noProof/>
          </w:rPr>
          <w:t>2</w:t>
        </w:r>
        <w:r w:rsidR="00862809" w:rsidRPr="00357F13">
          <w:rPr>
            <w:rStyle w:val="Hyperlink"/>
            <w:noProof/>
          </w:rPr>
          <w:t>2</w:t>
        </w:r>
        <w:r w:rsidR="00781F19" w:rsidRPr="00357F13">
          <w:rPr>
            <w:rStyle w:val="Hyperlink"/>
          </w:rPr>
          <w:tab/>
        </w:r>
        <w:r w:rsidR="00781F19" w:rsidRPr="00357F13">
          <w:rPr>
            <w:rStyle w:val="Hyperlink"/>
            <w:noProof/>
          </w:rPr>
          <w:t>RDS</w:t>
        </w:r>
        <w:r w:rsidR="00CA14F8" w:rsidRPr="00357F13">
          <w:rPr>
            <w:rStyle w:val="Hyperlink"/>
            <w:noProof/>
          </w:rPr>
          <w:t>/AEP</w:t>
        </w:r>
        <w:r w:rsidR="00781F19" w:rsidRPr="00357F13">
          <w:rPr>
            <w:rStyle w:val="Hyperlink"/>
            <w:noProof/>
          </w:rPr>
          <w:t xml:space="preserve"> LIST</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_Toc452126188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39</w:t>
        </w:r>
        <w:r w:rsidR="00781F19" w:rsidRPr="00357F13">
          <w:rPr>
            <w:rStyle w:val="Hyperlink"/>
            <w:webHidden/>
          </w:rPr>
          <w:fldChar w:fldCharType="end"/>
        </w:r>
      </w:hyperlink>
    </w:p>
    <w:p w:rsidR="00781F19" w:rsidRPr="00357F13" w:rsidRDefault="00CA3299">
      <w:pPr>
        <w:pStyle w:val="TOC1"/>
        <w:rPr>
          <w:noProof/>
        </w:rPr>
      </w:pPr>
      <w:hyperlink w:anchor="_Toc452126189" w:history="1">
        <w:r w:rsidR="00781F19" w:rsidRPr="00357F13">
          <w:rPr>
            <w:rStyle w:val="Hyperlink"/>
            <w:noProof/>
          </w:rPr>
          <w:t>2</w:t>
        </w:r>
        <w:r w:rsidR="00862809" w:rsidRPr="00357F13">
          <w:rPr>
            <w:rStyle w:val="Hyperlink"/>
            <w:noProof/>
          </w:rPr>
          <w:t>3</w:t>
        </w:r>
        <w:r w:rsidR="00781F19" w:rsidRPr="00357F13">
          <w:rPr>
            <w:rStyle w:val="Hyperlink"/>
          </w:rPr>
          <w:tab/>
        </w:r>
        <w:r w:rsidR="00781F19" w:rsidRPr="00357F13">
          <w:rPr>
            <w:rStyle w:val="Hyperlink"/>
            <w:noProof/>
          </w:rPr>
          <w:t>Reporting</w:t>
        </w:r>
        <w:r w:rsidR="00684F4C" w:rsidRPr="00357F13">
          <w:rPr>
            <w:rStyle w:val="Hyperlink"/>
            <w:noProof/>
          </w:rPr>
          <w:t xml:space="preserve"> for London, Asia, Japan, China, </w:t>
        </w:r>
        <w:r w:rsidR="00781F19" w:rsidRPr="00357F13">
          <w:rPr>
            <w:rStyle w:val="Hyperlink"/>
            <w:noProof/>
          </w:rPr>
          <w:t xml:space="preserve">Dubai </w:t>
        </w:r>
        <w:r w:rsidR="00CA14F8" w:rsidRPr="00357F13">
          <w:rPr>
            <w:rStyle w:val="Hyperlink"/>
            <w:noProof/>
          </w:rPr>
          <w:t>and europe</w:t>
        </w:r>
        <w:r w:rsidR="00781F19" w:rsidRPr="00357F13">
          <w:rPr>
            <w:rStyle w:val="Hyperlink"/>
            <w:webHidden/>
          </w:rPr>
          <w:tab/>
        </w:r>
        <w:r w:rsidR="00781F19" w:rsidRPr="00357F13">
          <w:rPr>
            <w:rStyle w:val="Hyperlink"/>
            <w:webHidden/>
          </w:rPr>
          <w:fldChar w:fldCharType="begin"/>
        </w:r>
        <w:r w:rsidR="00781F19" w:rsidRPr="00357F13">
          <w:rPr>
            <w:rStyle w:val="Hyperlink"/>
            <w:webHidden/>
          </w:rPr>
          <w:instrText xml:space="preserve"> PAGEREF _Toc452126189 \h </w:instrText>
        </w:r>
        <w:r w:rsidR="00781F19" w:rsidRPr="00357F13">
          <w:rPr>
            <w:rStyle w:val="Hyperlink"/>
            <w:webHidden/>
          </w:rPr>
        </w:r>
        <w:r w:rsidR="00781F19" w:rsidRPr="00357F13">
          <w:rPr>
            <w:rStyle w:val="Hyperlink"/>
            <w:webHidden/>
          </w:rPr>
          <w:fldChar w:fldCharType="separate"/>
        </w:r>
        <w:r w:rsidR="001F61DD" w:rsidRPr="00357F13">
          <w:rPr>
            <w:rStyle w:val="Hyperlink"/>
            <w:noProof/>
            <w:webHidden/>
          </w:rPr>
          <w:t>39</w:t>
        </w:r>
        <w:r w:rsidR="00781F19" w:rsidRPr="00357F13">
          <w:rPr>
            <w:rStyle w:val="Hyperlink"/>
            <w:webHidden/>
          </w:rPr>
          <w:fldChar w:fldCharType="end"/>
        </w:r>
      </w:hyperlink>
    </w:p>
    <w:p w:rsidR="00781F19" w:rsidRPr="00357F13" w:rsidRDefault="00CA3299">
      <w:pPr>
        <w:pStyle w:val="TOC1"/>
        <w:rPr>
          <w:noProof/>
        </w:rPr>
      </w:pPr>
      <w:hyperlink w:anchor="_Toc452126190" w:history="1">
        <w:r w:rsidR="00781F19" w:rsidRPr="00357F13">
          <w:rPr>
            <w:rStyle w:val="Hyperlink"/>
            <w:noProof/>
            <w:kern w:val="28"/>
          </w:rPr>
          <w:t>2</w:t>
        </w:r>
        <w:r w:rsidR="00862809" w:rsidRPr="00357F13">
          <w:rPr>
            <w:rStyle w:val="Hyperlink"/>
            <w:noProof/>
            <w:kern w:val="28"/>
          </w:rPr>
          <w:t>4</w:t>
        </w:r>
        <w:r w:rsidR="00781F19" w:rsidRPr="00357F13">
          <w:rPr>
            <w:noProof/>
          </w:rPr>
          <w:tab/>
        </w:r>
        <w:r w:rsidR="00CA14F8" w:rsidRPr="00357F13">
          <w:rPr>
            <w:noProof/>
          </w:rPr>
          <w:t xml:space="preserve">SPA </w:t>
        </w:r>
        <w:r w:rsidR="00781F19" w:rsidRPr="00357F13">
          <w:rPr>
            <w:rStyle w:val="Hyperlink"/>
            <w:noProof/>
            <w:kern w:val="28"/>
          </w:rPr>
          <w:t>Overview of return</w:t>
        </w:r>
        <w:r w:rsidR="00781F19" w:rsidRPr="00357F13">
          <w:rPr>
            <w:noProof/>
            <w:webHidden/>
          </w:rPr>
          <w:tab/>
        </w:r>
        <w:r w:rsidR="00781F19" w:rsidRPr="00357F13">
          <w:rPr>
            <w:noProof/>
            <w:webHidden/>
          </w:rPr>
          <w:fldChar w:fldCharType="begin"/>
        </w:r>
        <w:r w:rsidR="00781F19" w:rsidRPr="00357F13">
          <w:rPr>
            <w:noProof/>
            <w:webHidden/>
          </w:rPr>
          <w:instrText xml:space="preserve"> PAGEREF _Toc452126190 \h </w:instrText>
        </w:r>
        <w:r w:rsidR="00781F19" w:rsidRPr="00357F13">
          <w:rPr>
            <w:noProof/>
            <w:webHidden/>
          </w:rPr>
        </w:r>
        <w:r w:rsidR="00781F19" w:rsidRPr="00357F13">
          <w:rPr>
            <w:noProof/>
            <w:webHidden/>
          </w:rPr>
          <w:fldChar w:fldCharType="separate"/>
        </w:r>
        <w:r w:rsidR="001F61DD" w:rsidRPr="00357F13">
          <w:rPr>
            <w:noProof/>
            <w:webHidden/>
          </w:rPr>
          <w:t>4</w:t>
        </w:r>
        <w:r w:rsidR="00FB287E" w:rsidRPr="00357F13">
          <w:rPr>
            <w:noProof/>
            <w:webHidden/>
          </w:rPr>
          <w:t>1</w:t>
        </w:r>
        <w:r w:rsidR="00781F19" w:rsidRPr="00357F13">
          <w:rPr>
            <w:noProof/>
            <w:webHidden/>
          </w:rPr>
          <w:fldChar w:fldCharType="end"/>
        </w:r>
      </w:hyperlink>
    </w:p>
    <w:p w:rsidR="00781F19" w:rsidRPr="00357F13" w:rsidRDefault="00CA3299">
      <w:pPr>
        <w:pStyle w:val="TOC1"/>
        <w:rPr>
          <w:noProof/>
        </w:rPr>
      </w:pPr>
      <w:hyperlink w:anchor="_Toc452126191" w:history="1">
        <w:r w:rsidR="00862809" w:rsidRPr="00357F13">
          <w:rPr>
            <w:rStyle w:val="Hyperlink"/>
            <w:noProof/>
            <w:kern w:val="28"/>
          </w:rPr>
          <w:t>25</w:t>
        </w:r>
        <w:r w:rsidR="00781F19" w:rsidRPr="00357F13">
          <w:rPr>
            <w:noProof/>
          </w:rPr>
          <w:tab/>
        </w:r>
        <w:r w:rsidR="00781F19" w:rsidRPr="00357F13">
          <w:rPr>
            <w:rStyle w:val="Hyperlink"/>
            <w:noProof/>
            <w:kern w:val="28"/>
          </w:rPr>
          <w:t>SPA specific instructions</w:t>
        </w:r>
        <w:r w:rsidR="00781F19" w:rsidRPr="00357F13">
          <w:rPr>
            <w:noProof/>
            <w:webHidden/>
          </w:rPr>
          <w:tab/>
        </w:r>
        <w:r w:rsidR="00781F19" w:rsidRPr="00357F13">
          <w:rPr>
            <w:noProof/>
            <w:webHidden/>
          </w:rPr>
          <w:fldChar w:fldCharType="begin"/>
        </w:r>
        <w:r w:rsidR="00781F19" w:rsidRPr="00357F13">
          <w:rPr>
            <w:noProof/>
            <w:webHidden/>
          </w:rPr>
          <w:instrText xml:space="preserve"> PAGEREF _Toc452126191 \h </w:instrText>
        </w:r>
        <w:r w:rsidR="00781F19" w:rsidRPr="00357F13">
          <w:rPr>
            <w:noProof/>
            <w:webHidden/>
          </w:rPr>
        </w:r>
        <w:r w:rsidR="00781F19" w:rsidRPr="00357F13">
          <w:rPr>
            <w:noProof/>
            <w:webHidden/>
          </w:rPr>
          <w:fldChar w:fldCharType="separate"/>
        </w:r>
        <w:r w:rsidR="001F61DD" w:rsidRPr="00357F13">
          <w:rPr>
            <w:noProof/>
            <w:webHidden/>
          </w:rPr>
          <w:t>4</w:t>
        </w:r>
        <w:r w:rsidR="00FB287E" w:rsidRPr="00357F13">
          <w:rPr>
            <w:noProof/>
            <w:webHidden/>
          </w:rPr>
          <w:t>1</w:t>
        </w:r>
        <w:r w:rsidR="00781F19" w:rsidRPr="00357F13">
          <w:rPr>
            <w:noProof/>
            <w:webHidden/>
          </w:rPr>
          <w:fldChar w:fldCharType="end"/>
        </w:r>
      </w:hyperlink>
    </w:p>
    <w:p w:rsidR="00B9025D" w:rsidRPr="00357F13" w:rsidRDefault="000B2FD1" w:rsidP="008E26AA">
      <w:pPr>
        <w:widowControl w:val="0"/>
        <w:tabs>
          <w:tab w:val="left" w:pos="1134"/>
        </w:tabs>
        <w:ind w:right="144"/>
        <w:rPr>
          <w:rFonts w:cs="Arial"/>
          <w:b/>
          <w:sz w:val="40"/>
          <w:szCs w:val="40"/>
        </w:rPr>
      </w:pPr>
      <w:r w:rsidRPr="00357F13">
        <w:rPr>
          <w:rFonts w:cs="Arial"/>
          <w:b/>
          <w:szCs w:val="22"/>
        </w:rPr>
        <w:fldChar w:fldCharType="end"/>
      </w:r>
    </w:p>
    <w:p w:rsidR="000B2FD1" w:rsidRPr="00357F13" w:rsidRDefault="000B2FD1" w:rsidP="00B9025D">
      <w:pPr>
        <w:rPr>
          <w:rFonts w:cs="Arial"/>
          <w:sz w:val="40"/>
          <w:szCs w:val="40"/>
        </w:rPr>
        <w:sectPr w:rsidR="000B2FD1" w:rsidRPr="00357F13" w:rsidSect="00356532">
          <w:headerReference w:type="even" r:id="rId14"/>
          <w:headerReference w:type="default" r:id="rId15"/>
          <w:footerReference w:type="even" r:id="rId16"/>
          <w:footerReference w:type="default" r:id="rId17"/>
          <w:headerReference w:type="first" r:id="rId18"/>
          <w:footerReference w:type="first" r:id="rId19"/>
          <w:pgSz w:w="11908" w:h="16833" w:code="9"/>
          <w:pgMar w:top="1418" w:right="1026" w:bottom="1135" w:left="1259" w:header="646" w:footer="340" w:gutter="0"/>
          <w:cols w:space="720"/>
          <w:noEndnote/>
          <w:titlePg/>
        </w:sectPr>
      </w:pPr>
    </w:p>
    <w:p w:rsidR="00EE008D" w:rsidRPr="00357F13" w:rsidRDefault="008741F4" w:rsidP="00642EC1">
      <w:pPr>
        <w:pStyle w:val="Heading1"/>
        <w:ind w:left="567" w:hanging="567"/>
      </w:pPr>
      <w:bookmarkStart w:id="0" w:name="_Toc257725863"/>
      <w:bookmarkStart w:id="1" w:name="_Toc264275395"/>
      <w:r w:rsidRPr="00357F13">
        <w:t xml:space="preserve">    </w:t>
      </w:r>
      <w:bookmarkStart w:id="2" w:name="_Toc452126151"/>
      <w:r w:rsidR="00943A0C" w:rsidRPr="00357F13">
        <w:t>GENERAL INSTRUCTIONS</w:t>
      </w:r>
      <w:bookmarkEnd w:id="0"/>
      <w:bookmarkEnd w:id="1"/>
      <w:bookmarkEnd w:id="2"/>
    </w:p>
    <w:p w:rsidR="00911DE6" w:rsidRPr="00357F13" w:rsidRDefault="00911DE6" w:rsidP="00911DE6"/>
    <w:p w:rsidR="00467911" w:rsidRPr="00357F13" w:rsidRDefault="008741F4" w:rsidP="00B30662">
      <w:pPr>
        <w:pStyle w:val="Heading2"/>
        <w:tabs>
          <w:tab w:val="num" w:pos="1134"/>
        </w:tabs>
        <w:ind w:left="0" w:firstLine="0"/>
        <w:rPr>
          <w:sz w:val="24"/>
          <w:szCs w:val="26"/>
        </w:rPr>
      </w:pPr>
      <w:r w:rsidRPr="00357F13">
        <w:t xml:space="preserve">      </w:t>
      </w:r>
      <w:r w:rsidR="00781F19" w:rsidRPr="00357F13">
        <w:t xml:space="preserve"> </w:t>
      </w:r>
      <w:r w:rsidR="00061345" w:rsidRPr="00357F13">
        <w:tab/>
      </w:r>
      <w:r w:rsidR="002B0469" w:rsidRPr="00357F13">
        <w:rPr>
          <w:sz w:val="24"/>
          <w:szCs w:val="26"/>
        </w:rPr>
        <w:t>The business planning process</w:t>
      </w:r>
    </w:p>
    <w:p w:rsidR="00751B73" w:rsidRPr="00357F13" w:rsidRDefault="00EE008D" w:rsidP="00D9198D">
      <w:pPr>
        <w:pStyle w:val="Heading3"/>
        <w:tabs>
          <w:tab w:val="clear" w:pos="851"/>
          <w:tab w:val="num" w:pos="1134"/>
        </w:tabs>
        <w:ind w:left="1134" w:hanging="1134"/>
      </w:pPr>
      <w:r w:rsidRPr="00357F13">
        <w:t>T</w:t>
      </w:r>
      <w:r w:rsidR="00090CCB" w:rsidRPr="00357F13">
        <w:t>he syndicate business forecast</w:t>
      </w:r>
      <w:r w:rsidRPr="00357F13">
        <w:t xml:space="preserve"> </w:t>
      </w:r>
      <w:r w:rsidR="00090CCB" w:rsidRPr="00357F13">
        <w:t xml:space="preserve">(SBF) </w:t>
      </w:r>
      <w:r w:rsidRPr="00357F13">
        <w:t xml:space="preserve">provides information </w:t>
      </w:r>
      <w:r w:rsidR="002D78B1" w:rsidRPr="00357F13">
        <w:t xml:space="preserve">that is </w:t>
      </w:r>
      <w:r w:rsidRPr="00357F13">
        <w:t>needed to enable Lloyd's to</w:t>
      </w:r>
      <w:r w:rsidR="004A397E" w:rsidRPr="00357F13">
        <w:t xml:space="preserve"> support the business plan approval and capital processes.  The SBF</w:t>
      </w:r>
      <w:r w:rsidR="00200921" w:rsidRPr="00357F13">
        <w:t xml:space="preserve"> Return</w:t>
      </w:r>
      <w:r w:rsidR="004A397E" w:rsidRPr="00357F13">
        <w:t xml:space="preserve"> collects data that is common to each syndicate</w:t>
      </w:r>
      <w:r w:rsidR="001E1987" w:rsidRPr="00357F13">
        <w:t xml:space="preserve">.  </w:t>
      </w:r>
      <w:r w:rsidR="001E1987" w:rsidRPr="00357F13">
        <w:rPr>
          <w:color w:val="auto"/>
        </w:rPr>
        <w:t xml:space="preserve">It </w:t>
      </w:r>
      <w:r w:rsidR="004A397E" w:rsidRPr="00357F13">
        <w:rPr>
          <w:color w:val="auto"/>
        </w:rPr>
        <w:t xml:space="preserve">does not represent the full business plan, which </w:t>
      </w:r>
      <w:r w:rsidR="001E1987" w:rsidRPr="00357F13">
        <w:rPr>
          <w:color w:val="auto"/>
        </w:rPr>
        <w:t xml:space="preserve">requires submission of additional </w:t>
      </w:r>
      <w:r w:rsidR="004A397E" w:rsidRPr="00357F13">
        <w:rPr>
          <w:color w:val="auto"/>
        </w:rPr>
        <w:t xml:space="preserve">information </w:t>
      </w:r>
      <w:r w:rsidR="001E1987" w:rsidRPr="00357F13">
        <w:rPr>
          <w:color w:val="auto"/>
        </w:rPr>
        <w:t xml:space="preserve">that is </w:t>
      </w:r>
      <w:r w:rsidR="004A397E" w:rsidRPr="00357F13">
        <w:rPr>
          <w:color w:val="auto"/>
        </w:rPr>
        <w:t xml:space="preserve">specific to syndicates </w:t>
      </w:r>
      <w:r w:rsidR="007B17B8" w:rsidRPr="00357F13">
        <w:rPr>
          <w:color w:val="auto"/>
        </w:rPr>
        <w:t>and</w:t>
      </w:r>
      <w:r w:rsidR="001E1987" w:rsidRPr="00357F13">
        <w:rPr>
          <w:color w:val="auto"/>
        </w:rPr>
        <w:t xml:space="preserve"> </w:t>
      </w:r>
      <w:r w:rsidR="004A397E" w:rsidRPr="00357F13">
        <w:rPr>
          <w:color w:val="auto"/>
        </w:rPr>
        <w:t>ad-hoc requests.</w:t>
      </w:r>
      <w:r w:rsidR="00673DCB" w:rsidRPr="00357F13">
        <w:rPr>
          <w:color w:val="auto"/>
        </w:rPr>
        <w:t xml:space="preserve"> </w:t>
      </w:r>
    </w:p>
    <w:p w:rsidR="00E73D96" w:rsidRPr="00357F13" w:rsidRDefault="00B73DA4" w:rsidP="00D9198D">
      <w:pPr>
        <w:pStyle w:val="Heading3"/>
        <w:tabs>
          <w:tab w:val="clear" w:pos="851"/>
          <w:tab w:val="num" w:pos="1134"/>
        </w:tabs>
        <w:ind w:left="1134" w:hanging="1134"/>
        <w:rPr>
          <w:color w:val="auto"/>
        </w:rPr>
      </w:pPr>
      <w:r w:rsidRPr="00357F13">
        <w:t>Most of the S</w:t>
      </w:r>
      <w:r w:rsidR="00897C2C" w:rsidRPr="00357F13">
        <w:t xml:space="preserve">BF </w:t>
      </w:r>
      <w:r w:rsidRPr="00357F13">
        <w:t xml:space="preserve">forms are </w:t>
      </w:r>
      <w:r w:rsidR="00897C2C" w:rsidRPr="00357F13">
        <w:t>for a single year of underwriting only</w:t>
      </w:r>
      <w:r w:rsidR="00A72BDC" w:rsidRPr="00357F13">
        <w:t xml:space="preserve">. </w:t>
      </w:r>
      <w:r w:rsidR="00897C2C" w:rsidRPr="00357F13">
        <w:t>The software allows as many submissions as n</w:t>
      </w:r>
      <w:r w:rsidR="00683D32" w:rsidRPr="00357F13">
        <w:t>ecessary over a 19 month cycle. T</w:t>
      </w:r>
      <w:r w:rsidR="00897C2C" w:rsidRPr="00357F13">
        <w:t xml:space="preserve">his cycle takes the </w:t>
      </w:r>
      <w:r w:rsidR="00D57E17" w:rsidRPr="00357F13">
        <w:t xml:space="preserve">SBF through the approval process which must be completed by </w:t>
      </w:r>
      <w:r w:rsidR="00683D32" w:rsidRPr="00357F13">
        <w:t xml:space="preserve">coming into line </w:t>
      </w:r>
      <w:r w:rsidR="00773811" w:rsidRPr="00357F13">
        <w:t>02 December</w:t>
      </w:r>
      <w:r w:rsidR="00665E7A" w:rsidRPr="00357F13">
        <w:t xml:space="preserve"> </w:t>
      </w:r>
      <w:r w:rsidR="002779CA" w:rsidRPr="00357F13">
        <w:rPr>
          <w:color w:val="auto"/>
        </w:rPr>
        <w:t>2019</w:t>
      </w:r>
      <w:r w:rsidR="00B37DC5" w:rsidRPr="00357F13">
        <w:rPr>
          <w:color w:val="auto"/>
        </w:rPr>
        <w:t xml:space="preserve"> </w:t>
      </w:r>
      <w:r w:rsidR="00D57E17" w:rsidRPr="00357F13">
        <w:rPr>
          <w:color w:val="auto"/>
        </w:rPr>
        <w:t xml:space="preserve">for the </w:t>
      </w:r>
      <w:r w:rsidR="00665E7A" w:rsidRPr="00357F13">
        <w:rPr>
          <w:color w:val="auto"/>
        </w:rPr>
        <w:t>20</w:t>
      </w:r>
      <w:r w:rsidR="002779CA" w:rsidRPr="00357F13">
        <w:rPr>
          <w:color w:val="auto"/>
        </w:rPr>
        <w:t>20</w:t>
      </w:r>
      <w:r w:rsidR="00D57E17" w:rsidRPr="00357F13">
        <w:rPr>
          <w:color w:val="auto"/>
        </w:rPr>
        <w:t xml:space="preserve"> year if underwriting commences from 1</w:t>
      </w:r>
      <w:r w:rsidR="00683D32" w:rsidRPr="00357F13">
        <w:rPr>
          <w:color w:val="auto"/>
        </w:rPr>
        <w:t xml:space="preserve"> </w:t>
      </w:r>
      <w:r w:rsidR="00D57E17" w:rsidRPr="00357F13">
        <w:rPr>
          <w:color w:val="auto"/>
        </w:rPr>
        <w:t>January</w:t>
      </w:r>
      <w:r w:rsidR="006E40D5" w:rsidRPr="00357F13">
        <w:rPr>
          <w:color w:val="auto"/>
        </w:rPr>
        <w:t xml:space="preserve"> </w:t>
      </w:r>
      <w:r w:rsidR="00393F76" w:rsidRPr="00357F13">
        <w:rPr>
          <w:color w:val="auto"/>
        </w:rPr>
        <w:t>20</w:t>
      </w:r>
      <w:r w:rsidR="002779CA" w:rsidRPr="00357F13">
        <w:rPr>
          <w:color w:val="auto"/>
        </w:rPr>
        <w:t>20</w:t>
      </w:r>
      <w:r w:rsidR="00D57E17" w:rsidRPr="00357F13">
        <w:rPr>
          <w:color w:val="auto"/>
        </w:rPr>
        <w:t xml:space="preserve">. Material changes </w:t>
      </w:r>
      <w:r w:rsidR="00606E23" w:rsidRPr="00357F13">
        <w:rPr>
          <w:color w:val="auto"/>
        </w:rPr>
        <w:t xml:space="preserve">from the approved </w:t>
      </w:r>
      <w:r w:rsidR="00773CA6" w:rsidRPr="00357F13">
        <w:rPr>
          <w:color w:val="auto"/>
        </w:rPr>
        <w:t xml:space="preserve">plan </w:t>
      </w:r>
      <w:r w:rsidR="00B4045C" w:rsidRPr="00357F13">
        <w:rPr>
          <w:color w:val="auto"/>
        </w:rPr>
        <w:t>after</w:t>
      </w:r>
      <w:r w:rsidR="00606E23" w:rsidRPr="00357F13">
        <w:rPr>
          <w:color w:val="auto"/>
        </w:rPr>
        <w:t xml:space="preserve"> this date </w:t>
      </w:r>
      <w:r w:rsidR="00D57E17" w:rsidRPr="00357F13">
        <w:rPr>
          <w:color w:val="auto"/>
        </w:rPr>
        <w:t xml:space="preserve">should lead to a further submission of the </w:t>
      </w:r>
      <w:r w:rsidR="00897C2C" w:rsidRPr="00357F13">
        <w:rPr>
          <w:color w:val="auto"/>
        </w:rPr>
        <w:t>SBF</w:t>
      </w:r>
      <w:r w:rsidR="00200921" w:rsidRPr="00357F13">
        <w:rPr>
          <w:color w:val="auto"/>
        </w:rPr>
        <w:t xml:space="preserve"> Return</w:t>
      </w:r>
      <w:r w:rsidR="00D57E17" w:rsidRPr="00357F13">
        <w:rPr>
          <w:color w:val="auto"/>
        </w:rPr>
        <w:t xml:space="preserve"> which will require approval (and </w:t>
      </w:r>
      <w:r w:rsidR="00F35F6F" w:rsidRPr="00357F13">
        <w:rPr>
          <w:color w:val="auto"/>
        </w:rPr>
        <w:t xml:space="preserve">if approved will </w:t>
      </w:r>
      <w:r w:rsidR="006E40D5" w:rsidRPr="00357F13">
        <w:rPr>
          <w:color w:val="auto"/>
        </w:rPr>
        <w:t>supersede</w:t>
      </w:r>
      <w:r w:rsidR="00D57E17" w:rsidRPr="00357F13">
        <w:rPr>
          <w:color w:val="auto"/>
        </w:rPr>
        <w:t xml:space="preserve"> the original plan). </w:t>
      </w:r>
    </w:p>
    <w:p w:rsidR="002D78B1" w:rsidRPr="00357F13" w:rsidRDefault="00E73D96" w:rsidP="00D9198D">
      <w:pPr>
        <w:pStyle w:val="Heading3"/>
        <w:tabs>
          <w:tab w:val="clear" w:pos="851"/>
          <w:tab w:val="num" w:pos="1134"/>
        </w:tabs>
        <w:ind w:left="1134" w:hanging="1134"/>
        <w:rPr>
          <w:color w:val="auto"/>
        </w:rPr>
      </w:pPr>
      <w:r w:rsidRPr="00357F13">
        <w:rPr>
          <w:color w:val="auto"/>
        </w:rPr>
        <w:t xml:space="preserve">Any amendments to the </w:t>
      </w:r>
      <w:r w:rsidR="002779CA" w:rsidRPr="00357F13">
        <w:rPr>
          <w:color w:val="auto"/>
        </w:rPr>
        <w:t>2019</w:t>
      </w:r>
      <w:r w:rsidRPr="00357F13">
        <w:rPr>
          <w:color w:val="auto"/>
        </w:rPr>
        <w:t xml:space="preserve"> approved plan are to be dealt with in direct discussion with </w:t>
      </w:r>
      <w:bookmarkStart w:id="3" w:name="_Hlk11770208"/>
      <w:r w:rsidR="00593572" w:rsidRPr="00357F13">
        <w:rPr>
          <w:color w:val="auto"/>
        </w:rPr>
        <w:t xml:space="preserve">Syndicate </w:t>
      </w:r>
      <w:r w:rsidR="0041649B" w:rsidRPr="00357F13">
        <w:rPr>
          <w:color w:val="auto"/>
        </w:rPr>
        <w:t>Business</w:t>
      </w:r>
      <w:r w:rsidRPr="00357F13">
        <w:rPr>
          <w:color w:val="auto"/>
        </w:rPr>
        <w:t xml:space="preserve"> Performance</w:t>
      </w:r>
      <w:r w:rsidR="0041649B" w:rsidRPr="00357F13">
        <w:rPr>
          <w:color w:val="auto"/>
        </w:rPr>
        <w:t xml:space="preserve"> </w:t>
      </w:r>
      <w:bookmarkEnd w:id="3"/>
      <w:r w:rsidR="0041649B" w:rsidRPr="00357F13">
        <w:rPr>
          <w:color w:val="auto"/>
        </w:rPr>
        <w:t>(SB</w:t>
      </w:r>
      <w:r w:rsidR="005A754A" w:rsidRPr="00357F13">
        <w:rPr>
          <w:color w:val="auto"/>
        </w:rPr>
        <w:t>P)</w:t>
      </w:r>
      <w:r w:rsidRPr="00357F13">
        <w:rPr>
          <w:color w:val="auto"/>
        </w:rPr>
        <w:t xml:space="preserve">, and this may require the submission of a new </w:t>
      </w:r>
      <w:r w:rsidR="00683D32" w:rsidRPr="00357F13">
        <w:rPr>
          <w:color w:val="auto"/>
        </w:rPr>
        <w:t>SBF</w:t>
      </w:r>
      <w:r w:rsidR="004005EA" w:rsidRPr="00357F13">
        <w:rPr>
          <w:color w:val="auto"/>
        </w:rPr>
        <w:t xml:space="preserve"> Return </w:t>
      </w:r>
      <w:r w:rsidRPr="00357F13">
        <w:rPr>
          <w:color w:val="auto"/>
        </w:rPr>
        <w:t xml:space="preserve">for the </w:t>
      </w:r>
      <w:r w:rsidR="002779CA" w:rsidRPr="00357F13">
        <w:rPr>
          <w:color w:val="auto"/>
        </w:rPr>
        <w:t>2019</w:t>
      </w:r>
      <w:r w:rsidRPr="00357F13">
        <w:rPr>
          <w:color w:val="auto"/>
        </w:rPr>
        <w:t xml:space="preserve"> year.</w:t>
      </w:r>
    </w:p>
    <w:p w:rsidR="00D356E4" w:rsidRPr="00357F13" w:rsidRDefault="00D356E4" w:rsidP="00D9198D">
      <w:pPr>
        <w:pStyle w:val="Heading3"/>
        <w:tabs>
          <w:tab w:val="clear" w:pos="851"/>
          <w:tab w:val="num" w:pos="1134"/>
        </w:tabs>
        <w:ind w:left="1134" w:hanging="1134"/>
        <w:rPr>
          <w:color w:val="auto"/>
        </w:rPr>
      </w:pPr>
      <w:r w:rsidRPr="00357F13">
        <w:rPr>
          <w:rFonts w:cs="Arial"/>
          <w:color w:val="auto"/>
          <w:lang w:eastAsia="en-GB"/>
        </w:rPr>
        <w:t xml:space="preserve">The </w:t>
      </w:r>
      <w:r w:rsidR="002779CA" w:rsidRPr="00357F13">
        <w:rPr>
          <w:rFonts w:cs="Arial"/>
          <w:color w:val="auto"/>
          <w:lang w:eastAsia="en-GB"/>
        </w:rPr>
        <w:t>2020</w:t>
      </w:r>
      <w:r w:rsidR="008F7D20" w:rsidRPr="00357F13">
        <w:rPr>
          <w:rFonts w:cs="Arial"/>
          <w:color w:val="auto"/>
          <w:lang w:eastAsia="en-GB"/>
        </w:rPr>
        <w:t xml:space="preserve"> </w:t>
      </w:r>
      <w:r w:rsidRPr="00357F13">
        <w:rPr>
          <w:rFonts w:cs="Arial"/>
          <w:lang w:eastAsia="en-GB"/>
        </w:rPr>
        <w:t>SBF</w:t>
      </w:r>
      <w:r w:rsidR="00F31567" w:rsidRPr="00357F13">
        <w:rPr>
          <w:rFonts w:cs="Arial"/>
          <w:lang w:eastAsia="en-GB"/>
        </w:rPr>
        <w:t xml:space="preserve"> submission</w:t>
      </w:r>
      <w:r w:rsidRPr="00357F13">
        <w:rPr>
          <w:rFonts w:cs="Arial"/>
          <w:lang w:eastAsia="en-GB"/>
        </w:rPr>
        <w:t xml:space="preserve"> timetable </w:t>
      </w:r>
      <w:r w:rsidR="008F7D20" w:rsidRPr="00357F13">
        <w:rPr>
          <w:rFonts w:cs="Arial"/>
          <w:lang w:eastAsia="en-GB"/>
        </w:rPr>
        <w:t xml:space="preserve">is shown below: </w:t>
      </w:r>
    </w:p>
    <w:tbl>
      <w:tblPr>
        <w:tblW w:w="8505" w:type="dxa"/>
        <w:tblInd w:w="1129"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2126"/>
      </w:tblGrid>
      <w:tr w:rsidR="00C820DE" w:rsidRPr="00357F13" w:rsidTr="00BA1A31">
        <w:trPr>
          <w:trHeight w:val="624"/>
        </w:trPr>
        <w:tc>
          <w:tcPr>
            <w:tcW w:w="3119" w:type="dxa"/>
            <w:tcBorders>
              <w:left w:val="single" w:sz="4" w:space="0" w:color="auto"/>
            </w:tcBorders>
            <w:shd w:val="clear" w:color="auto" w:fill="auto"/>
            <w:vAlign w:val="center"/>
          </w:tcPr>
          <w:p w:rsidR="00250C61" w:rsidRPr="00357F13" w:rsidRDefault="002779CA" w:rsidP="00235165">
            <w:r w:rsidRPr="00357F13">
              <w:rPr>
                <w:rFonts w:cs="Arial"/>
                <w:b/>
                <w:szCs w:val="22"/>
              </w:rPr>
              <w:t xml:space="preserve">Phase </w:t>
            </w:r>
            <w:r w:rsidR="009D54CC" w:rsidRPr="00357F13">
              <w:rPr>
                <w:rFonts w:cs="Arial"/>
                <w:b/>
                <w:szCs w:val="22"/>
              </w:rPr>
              <w:t xml:space="preserve">1 </w:t>
            </w:r>
            <w:r w:rsidR="00D331D5" w:rsidRPr="00357F13">
              <w:rPr>
                <w:rFonts w:cs="Arial"/>
                <w:b/>
                <w:szCs w:val="22"/>
              </w:rPr>
              <w:t>Syndicates</w:t>
            </w:r>
          </w:p>
        </w:tc>
        <w:tc>
          <w:tcPr>
            <w:tcW w:w="3260" w:type="dxa"/>
            <w:shd w:val="clear" w:color="auto" w:fill="auto"/>
            <w:vAlign w:val="center"/>
          </w:tcPr>
          <w:p w:rsidR="00C820DE" w:rsidRPr="00357F13" w:rsidRDefault="00967AA0">
            <w:pPr>
              <w:jc w:val="center"/>
              <w:rPr>
                <w:rFonts w:cs="Arial"/>
                <w:szCs w:val="22"/>
              </w:rPr>
            </w:pPr>
            <w:r w:rsidRPr="00357F13">
              <w:rPr>
                <w:rFonts w:cs="Arial"/>
                <w:szCs w:val="22"/>
              </w:rPr>
              <w:t>02</w:t>
            </w:r>
            <w:r w:rsidR="00C820DE" w:rsidRPr="00357F13">
              <w:rPr>
                <w:rFonts w:cs="Arial"/>
                <w:szCs w:val="22"/>
              </w:rPr>
              <w:t xml:space="preserve"> September </w:t>
            </w:r>
            <w:r w:rsidR="002779CA" w:rsidRPr="00357F13">
              <w:rPr>
                <w:rFonts w:cs="Arial"/>
                <w:szCs w:val="22"/>
              </w:rPr>
              <w:t>201</w:t>
            </w:r>
            <w:r w:rsidRPr="00357F13">
              <w:rPr>
                <w:rFonts w:cs="Arial"/>
                <w:szCs w:val="22"/>
              </w:rPr>
              <w:t>9</w:t>
            </w:r>
          </w:p>
        </w:tc>
        <w:tc>
          <w:tcPr>
            <w:tcW w:w="2126" w:type="dxa"/>
            <w:shd w:val="clear" w:color="auto" w:fill="auto"/>
            <w:vAlign w:val="center"/>
          </w:tcPr>
          <w:p w:rsidR="00C820DE" w:rsidRPr="00357F13" w:rsidRDefault="00C820DE" w:rsidP="00C820DE">
            <w:pPr>
              <w:tabs>
                <w:tab w:val="left" w:pos="1134"/>
              </w:tabs>
              <w:jc w:val="center"/>
              <w:rPr>
                <w:rFonts w:cs="Arial"/>
                <w:szCs w:val="22"/>
              </w:rPr>
            </w:pPr>
            <w:r w:rsidRPr="00357F13">
              <w:rPr>
                <w:rFonts w:cs="Arial"/>
                <w:szCs w:val="22"/>
              </w:rPr>
              <w:t>13.00 hrs</w:t>
            </w:r>
          </w:p>
        </w:tc>
      </w:tr>
      <w:tr w:rsidR="00967AA0" w:rsidRPr="00357F13" w:rsidTr="00BA1A31">
        <w:trPr>
          <w:trHeight w:val="624"/>
        </w:trPr>
        <w:tc>
          <w:tcPr>
            <w:tcW w:w="3119" w:type="dxa"/>
            <w:tcBorders>
              <w:left w:val="single" w:sz="4" w:space="0" w:color="auto"/>
            </w:tcBorders>
            <w:shd w:val="clear" w:color="auto" w:fill="auto"/>
            <w:vAlign w:val="center"/>
          </w:tcPr>
          <w:p w:rsidR="00967AA0" w:rsidRPr="00357F13" w:rsidRDefault="00967AA0" w:rsidP="00235165">
            <w:pPr>
              <w:tabs>
                <w:tab w:val="left" w:pos="1134"/>
              </w:tabs>
              <w:rPr>
                <w:rFonts w:cs="Arial"/>
                <w:szCs w:val="22"/>
              </w:rPr>
            </w:pPr>
            <w:r w:rsidRPr="00357F13">
              <w:rPr>
                <w:rFonts w:cs="Arial"/>
                <w:b/>
                <w:szCs w:val="22"/>
              </w:rPr>
              <w:t>Phase 2 Syndicates</w:t>
            </w:r>
          </w:p>
        </w:tc>
        <w:tc>
          <w:tcPr>
            <w:tcW w:w="3260" w:type="dxa"/>
            <w:shd w:val="clear" w:color="auto" w:fill="auto"/>
            <w:vAlign w:val="center"/>
          </w:tcPr>
          <w:p w:rsidR="00967AA0" w:rsidRPr="00357F13" w:rsidRDefault="00967AA0">
            <w:pPr>
              <w:jc w:val="center"/>
              <w:rPr>
                <w:rFonts w:cs="Arial"/>
                <w:szCs w:val="22"/>
              </w:rPr>
            </w:pPr>
            <w:r w:rsidRPr="00357F13">
              <w:rPr>
                <w:rFonts w:cs="Arial"/>
                <w:szCs w:val="22"/>
              </w:rPr>
              <w:t xml:space="preserve">09 September 2019 </w:t>
            </w:r>
          </w:p>
        </w:tc>
        <w:tc>
          <w:tcPr>
            <w:tcW w:w="2126" w:type="dxa"/>
            <w:shd w:val="clear" w:color="auto" w:fill="auto"/>
            <w:vAlign w:val="center"/>
          </w:tcPr>
          <w:p w:rsidR="00967AA0" w:rsidRPr="00357F13" w:rsidRDefault="00967AA0" w:rsidP="00967AA0">
            <w:pPr>
              <w:tabs>
                <w:tab w:val="left" w:pos="1134"/>
              </w:tabs>
              <w:jc w:val="center"/>
              <w:rPr>
                <w:rFonts w:cs="Arial"/>
                <w:szCs w:val="22"/>
              </w:rPr>
            </w:pPr>
            <w:r w:rsidRPr="00357F13">
              <w:rPr>
                <w:rFonts w:cs="Arial"/>
                <w:szCs w:val="22"/>
              </w:rPr>
              <w:t>13.00 hrs</w:t>
            </w:r>
          </w:p>
        </w:tc>
      </w:tr>
      <w:tr w:rsidR="00967AA0" w:rsidRPr="00357F13" w:rsidTr="00BA1A31">
        <w:trPr>
          <w:trHeight w:val="624"/>
        </w:trPr>
        <w:tc>
          <w:tcPr>
            <w:tcW w:w="3119" w:type="dxa"/>
            <w:tcBorders>
              <w:left w:val="single" w:sz="4" w:space="0" w:color="auto"/>
            </w:tcBorders>
            <w:shd w:val="clear" w:color="auto" w:fill="auto"/>
            <w:vAlign w:val="center"/>
          </w:tcPr>
          <w:p w:rsidR="00967AA0" w:rsidRPr="00357F13" w:rsidRDefault="00967AA0" w:rsidP="00235165">
            <w:pPr>
              <w:tabs>
                <w:tab w:val="left" w:pos="1134"/>
              </w:tabs>
              <w:rPr>
                <w:rFonts w:cs="Arial"/>
                <w:szCs w:val="22"/>
              </w:rPr>
            </w:pPr>
            <w:r w:rsidRPr="00357F13">
              <w:rPr>
                <w:rFonts w:cs="Arial"/>
                <w:b/>
                <w:szCs w:val="22"/>
              </w:rPr>
              <w:t>Phase 3 Syndicates</w:t>
            </w:r>
          </w:p>
        </w:tc>
        <w:tc>
          <w:tcPr>
            <w:tcW w:w="3260" w:type="dxa"/>
            <w:shd w:val="clear" w:color="auto" w:fill="auto"/>
            <w:vAlign w:val="center"/>
          </w:tcPr>
          <w:p w:rsidR="00967AA0" w:rsidRPr="00357F13" w:rsidRDefault="00967AA0">
            <w:pPr>
              <w:jc w:val="center"/>
              <w:rPr>
                <w:rFonts w:cs="Arial"/>
                <w:szCs w:val="22"/>
              </w:rPr>
            </w:pPr>
            <w:r w:rsidRPr="00357F13">
              <w:rPr>
                <w:rFonts w:cs="Arial"/>
                <w:szCs w:val="22"/>
              </w:rPr>
              <w:t xml:space="preserve">16 September 2019 </w:t>
            </w:r>
          </w:p>
        </w:tc>
        <w:tc>
          <w:tcPr>
            <w:tcW w:w="2126" w:type="dxa"/>
            <w:shd w:val="clear" w:color="auto" w:fill="auto"/>
            <w:vAlign w:val="center"/>
          </w:tcPr>
          <w:p w:rsidR="00967AA0" w:rsidRPr="00357F13" w:rsidRDefault="00967AA0" w:rsidP="00967AA0">
            <w:pPr>
              <w:tabs>
                <w:tab w:val="left" w:pos="1134"/>
              </w:tabs>
              <w:jc w:val="center"/>
              <w:rPr>
                <w:rFonts w:cs="Arial"/>
                <w:szCs w:val="22"/>
              </w:rPr>
            </w:pPr>
            <w:r w:rsidRPr="00357F13">
              <w:rPr>
                <w:rFonts w:cs="Arial"/>
                <w:szCs w:val="22"/>
              </w:rPr>
              <w:t>13.00 hrs</w:t>
            </w:r>
          </w:p>
        </w:tc>
      </w:tr>
      <w:tr w:rsidR="00967AA0" w:rsidRPr="00357F13" w:rsidTr="00BA1A31">
        <w:trPr>
          <w:trHeight w:val="624"/>
        </w:trPr>
        <w:tc>
          <w:tcPr>
            <w:tcW w:w="3119" w:type="dxa"/>
            <w:tcBorders>
              <w:left w:val="single" w:sz="4" w:space="0" w:color="auto"/>
            </w:tcBorders>
            <w:shd w:val="clear" w:color="auto" w:fill="auto"/>
            <w:vAlign w:val="center"/>
          </w:tcPr>
          <w:p w:rsidR="00967AA0" w:rsidRPr="00357F13" w:rsidRDefault="00967AA0" w:rsidP="00235165">
            <w:pPr>
              <w:tabs>
                <w:tab w:val="left" w:pos="1134"/>
              </w:tabs>
              <w:rPr>
                <w:rFonts w:cs="Arial"/>
                <w:szCs w:val="22"/>
              </w:rPr>
            </w:pPr>
            <w:r w:rsidRPr="00357F13">
              <w:rPr>
                <w:rFonts w:cs="Arial"/>
                <w:b/>
                <w:szCs w:val="22"/>
              </w:rPr>
              <w:t>Phase 4 Syndicates</w:t>
            </w:r>
          </w:p>
        </w:tc>
        <w:tc>
          <w:tcPr>
            <w:tcW w:w="3260" w:type="dxa"/>
            <w:shd w:val="clear" w:color="auto" w:fill="auto"/>
            <w:vAlign w:val="center"/>
          </w:tcPr>
          <w:p w:rsidR="00967AA0" w:rsidRPr="00357F13" w:rsidRDefault="00967AA0">
            <w:pPr>
              <w:jc w:val="center"/>
              <w:rPr>
                <w:rFonts w:cs="Arial"/>
                <w:szCs w:val="22"/>
              </w:rPr>
            </w:pPr>
            <w:r w:rsidRPr="00357F13">
              <w:rPr>
                <w:rFonts w:cs="Arial"/>
                <w:szCs w:val="22"/>
              </w:rPr>
              <w:t xml:space="preserve">23 September 2019 </w:t>
            </w:r>
          </w:p>
        </w:tc>
        <w:tc>
          <w:tcPr>
            <w:tcW w:w="2126" w:type="dxa"/>
            <w:shd w:val="clear" w:color="auto" w:fill="auto"/>
            <w:vAlign w:val="center"/>
          </w:tcPr>
          <w:p w:rsidR="00967AA0" w:rsidRPr="00357F13" w:rsidRDefault="00967AA0" w:rsidP="00967AA0">
            <w:pPr>
              <w:tabs>
                <w:tab w:val="left" w:pos="1134"/>
              </w:tabs>
              <w:jc w:val="center"/>
              <w:rPr>
                <w:rFonts w:cs="Arial"/>
                <w:szCs w:val="22"/>
              </w:rPr>
            </w:pPr>
            <w:r w:rsidRPr="00357F13">
              <w:rPr>
                <w:rFonts w:cs="Arial"/>
                <w:szCs w:val="22"/>
              </w:rPr>
              <w:t>13.00 hrs</w:t>
            </w:r>
          </w:p>
        </w:tc>
      </w:tr>
      <w:tr w:rsidR="00967AA0" w:rsidRPr="00357F13" w:rsidTr="00BA1A31">
        <w:trPr>
          <w:trHeight w:val="624"/>
        </w:trPr>
        <w:tc>
          <w:tcPr>
            <w:tcW w:w="3119" w:type="dxa"/>
            <w:tcBorders>
              <w:left w:val="single" w:sz="4" w:space="0" w:color="auto"/>
            </w:tcBorders>
            <w:shd w:val="clear" w:color="auto" w:fill="auto"/>
            <w:vAlign w:val="center"/>
          </w:tcPr>
          <w:p w:rsidR="00967AA0" w:rsidRPr="00357F13" w:rsidRDefault="00967AA0" w:rsidP="00235165">
            <w:r w:rsidRPr="00357F13">
              <w:rPr>
                <w:rFonts w:cs="Arial"/>
                <w:b/>
                <w:szCs w:val="22"/>
              </w:rPr>
              <w:t>Phase 5 Syndicates</w:t>
            </w:r>
          </w:p>
        </w:tc>
        <w:tc>
          <w:tcPr>
            <w:tcW w:w="3260" w:type="dxa"/>
            <w:shd w:val="clear" w:color="auto" w:fill="auto"/>
            <w:vAlign w:val="center"/>
          </w:tcPr>
          <w:p w:rsidR="00967AA0" w:rsidRPr="00357F13" w:rsidRDefault="00967AA0">
            <w:pPr>
              <w:jc w:val="center"/>
              <w:rPr>
                <w:rFonts w:cs="Arial"/>
                <w:szCs w:val="22"/>
              </w:rPr>
            </w:pPr>
            <w:r w:rsidRPr="00357F13">
              <w:rPr>
                <w:rFonts w:cs="Arial"/>
                <w:szCs w:val="22"/>
              </w:rPr>
              <w:t>30 September 2019</w:t>
            </w:r>
          </w:p>
        </w:tc>
        <w:tc>
          <w:tcPr>
            <w:tcW w:w="2126" w:type="dxa"/>
            <w:shd w:val="clear" w:color="auto" w:fill="auto"/>
            <w:vAlign w:val="center"/>
          </w:tcPr>
          <w:p w:rsidR="00967AA0" w:rsidRPr="00357F13" w:rsidRDefault="00967AA0" w:rsidP="00967AA0">
            <w:pPr>
              <w:tabs>
                <w:tab w:val="left" w:pos="1134"/>
              </w:tabs>
              <w:jc w:val="center"/>
              <w:rPr>
                <w:rFonts w:cs="Arial"/>
                <w:szCs w:val="22"/>
              </w:rPr>
            </w:pPr>
            <w:r w:rsidRPr="00357F13">
              <w:rPr>
                <w:rFonts w:cs="Arial"/>
                <w:szCs w:val="22"/>
              </w:rPr>
              <w:t>13:00 hrs</w:t>
            </w:r>
          </w:p>
        </w:tc>
      </w:tr>
    </w:tbl>
    <w:p w:rsidR="00007A88" w:rsidRPr="00357F13" w:rsidRDefault="00007A88" w:rsidP="00235165">
      <w:pPr>
        <w:pStyle w:val="NoSpacing"/>
        <w:rPr>
          <w:lang w:eastAsia="en-GB"/>
        </w:rPr>
      </w:pPr>
    </w:p>
    <w:p w:rsidR="00007A88" w:rsidRPr="00357F13" w:rsidRDefault="00007A88" w:rsidP="00700A2A">
      <w:pPr>
        <w:pStyle w:val="Heading3"/>
        <w:numPr>
          <w:ilvl w:val="0"/>
          <w:numId w:val="0"/>
        </w:numPr>
        <w:tabs>
          <w:tab w:val="clear" w:pos="851"/>
          <w:tab w:val="left" w:pos="1170"/>
        </w:tabs>
        <w:ind w:left="1146"/>
        <w:rPr>
          <w:rFonts w:cs="Arial"/>
          <w:lang w:eastAsia="en-GB"/>
        </w:rPr>
      </w:pPr>
      <w:r w:rsidRPr="00357F13">
        <w:rPr>
          <w:rFonts w:cs="Arial"/>
          <w:lang w:eastAsia="en-GB"/>
        </w:rPr>
        <w:t xml:space="preserve">Syndicates </w:t>
      </w:r>
      <w:r w:rsidR="008445A1" w:rsidRPr="00357F13">
        <w:rPr>
          <w:rFonts w:cs="Arial"/>
          <w:lang w:eastAsia="en-GB"/>
        </w:rPr>
        <w:t>should</w:t>
      </w:r>
      <w:r w:rsidRPr="00357F13">
        <w:rPr>
          <w:rFonts w:cs="Arial"/>
          <w:lang w:eastAsia="en-GB"/>
        </w:rPr>
        <w:t xml:space="preserve"> be aware which of the above phases they fall within as agreed with their Oversight Manager.</w:t>
      </w:r>
    </w:p>
    <w:p w:rsidR="001F0BB8" w:rsidRPr="00357F13" w:rsidRDefault="003C09E9" w:rsidP="00235165">
      <w:pPr>
        <w:pStyle w:val="Heading3"/>
        <w:tabs>
          <w:tab w:val="clear" w:pos="851"/>
          <w:tab w:val="left" w:pos="426"/>
          <w:tab w:val="num" w:pos="1134"/>
          <w:tab w:val="left" w:pos="1170"/>
        </w:tabs>
        <w:ind w:left="1134" w:hanging="1134"/>
        <w:rPr>
          <w:lang w:eastAsia="en-GB"/>
        </w:rPr>
      </w:pPr>
      <w:r w:rsidRPr="00357F13">
        <w:rPr>
          <w:b/>
        </w:rPr>
        <w:t>All fina</w:t>
      </w:r>
      <w:r w:rsidRPr="00357F13">
        <w:rPr>
          <w:b/>
          <w:color w:val="auto"/>
        </w:rPr>
        <w:t xml:space="preserve">l </w:t>
      </w:r>
      <w:r w:rsidR="002779CA" w:rsidRPr="00357F13">
        <w:rPr>
          <w:b/>
          <w:color w:val="auto"/>
        </w:rPr>
        <w:t>2020</w:t>
      </w:r>
      <w:r w:rsidRPr="00357F13">
        <w:rPr>
          <w:b/>
          <w:color w:val="auto"/>
        </w:rPr>
        <w:t xml:space="preserve"> </w:t>
      </w:r>
      <w:r w:rsidRPr="00357F13">
        <w:rPr>
          <w:b/>
        </w:rPr>
        <w:t>SBF Returns must be approved by the managing agency board.</w:t>
      </w:r>
    </w:p>
    <w:p w:rsidR="00911DE6" w:rsidRPr="00357F13" w:rsidRDefault="00E46CA3" w:rsidP="00D9198D">
      <w:pPr>
        <w:pStyle w:val="Heading3"/>
        <w:tabs>
          <w:tab w:val="clear" w:pos="851"/>
          <w:tab w:val="num" w:pos="1134"/>
        </w:tabs>
        <w:ind w:left="1134" w:hanging="1134"/>
      </w:pPr>
      <w:r w:rsidRPr="00357F13">
        <w:t xml:space="preserve">Each SBF submission will be </w:t>
      </w:r>
      <w:r w:rsidR="00E02B5C" w:rsidRPr="00357F13">
        <w:t xml:space="preserve">validated upon submission </w:t>
      </w:r>
      <w:r w:rsidRPr="00357F13">
        <w:t>and will be returned for resubmission</w:t>
      </w:r>
      <w:r w:rsidR="002D78B1" w:rsidRPr="00357F13">
        <w:t>,</w:t>
      </w:r>
      <w:r w:rsidRPr="00357F13">
        <w:t xml:space="preserve"> should any </w:t>
      </w:r>
      <w:r w:rsidR="00D00774" w:rsidRPr="00357F13">
        <w:t>errors</w:t>
      </w:r>
      <w:r w:rsidRPr="00357F13">
        <w:t xml:space="preserve"> be found</w:t>
      </w:r>
      <w:r w:rsidR="009F7F22" w:rsidRPr="00357F13">
        <w:t>.</w:t>
      </w:r>
      <w:r w:rsidR="00467911" w:rsidRPr="00357F13">
        <w:t xml:space="preserve"> </w:t>
      </w:r>
    </w:p>
    <w:p w:rsidR="00646DEF" w:rsidRPr="00357F13" w:rsidRDefault="00EC2EA9" w:rsidP="00D9198D">
      <w:pPr>
        <w:pStyle w:val="Heading3"/>
        <w:tabs>
          <w:tab w:val="clear" w:pos="851"/>
          <w:tab w:val="num" w:pos="1134"/>
        </w:tabs>
        <w:ind w:left="1134" w:hanging="1134"/>
      </w:pPr>
      <w:r w:rsidRPr="00357F13">
        <w:t xml:space="preserve">Where </w:t>
      </w:r>
      <w:r w:rsidR="00683D32" w:rsidRPr="00357F13">
        <w:t>a</w:t>
      </w:r>
      <w:r w:rsidRPr="00357F13">
        <w:t xml:space="preserve"> syndicate is planning to write</w:t>
      </w:r>
      <w:r w:rsidR="00997DB2" w:rsidRPr="00357F13">
        <w:t xml:space="preserve"> Direct</w:t>
      </w:r>
      <w:r w:rsidRPr="00357F13">
        <w:t xml:space="preserve"> bus</w:t>
      </w:r>
      <w:r w:rsidR="00683D32" w:rsidRPr="00357F13">
        <w:t>iness through Lloyd’s China,</w:t>
      </w:r>
      <w:r w:rsidR="007E2A52" w:rsidRPr="00357F13">
        <w:t xml:space="preserve"> </w:t>
      </w:r>
      <w:r w:rsidRPr="00357F13">
        <w:t>managing agent</w:t>
      </w:r>
      <w:r w:rsidR="00683D32" w:rsidRPr="00357F13">
        <w:t>s are</w:t>
      </w:r>
      <w:r w:rsidRPr="00357F13">
        <w:t xml:space="preserve"> expected to provide additional </w:t>
      </w:r>
      <w:r w:rsidR="005F03D8" w:rsidRPr="00357F13">
        <w:t>information</w:t>
      </w:r>
      <w:r w:rsidR="00BB1C21" w:rsidRPr="00357F13">
        <w:t xml:space="preserve"> </w:t>
      </w:r>
      <w:r w:rsidRPr="00357F13">
        <w:t>as required by the Chinese Insurance Regulatory Commission (CIRC).</w:t>
      </w:r>
      <w:r w:rsidR="008741F4" w:rsidRPr="00357F13">
        <w:t xml:space="preserve"> </w:t>
      </w:r>
      <w:r w:rsidR="007E2A52" w:rsidRPr="00357F13">
        <w:t>See section 2</w:t>
      </w:r>
      <w:r w:rsidR="00E804A8" w:rsidRPr="00357F13">
        <w:t>0</w:t>
      </w:r>
      <w:r w:rsidR="007E2A52" w:rsidRPr="00357F13">
        <w:t>.6</w:t>
      </w:r>
      <w:r w:rsidR="00914FEC" w:rsidRPr="00357F13">
        <w:t>.2</w:t>
      </w:r>
      <w:r w:rsidR="007E2A52" w:rsidRPr="00357F13">
        <w:t xml:space="preserve"> for further information.</w:t>
      </w:r>
      <w:r w:rsidR="008741F4" w:rsidRPr="00357F13">
        <w:t xml:space="preserve">  </w:t>
      </w:r>
    </w:p>
    <w:p w:rsidR="00EE008D" w:rsidRPr="00357F13" w:rsidRDefault="008741F4" w:rsidP="00646DEF">
      <w:pPr>
        <w:pStyle w:val="Heading2"/>
        <w:tabs>
          <w:tab w:val="num" w:pos="1134"/>
        </w:tabs>
        <w:ind w:left="0" w:firstLine="0"/>
      </w:pPr>
      <w:r w:rsidRPr="00357F13">
        <w:t xml:space="preserve">   </w:t>
      </w:r>
      <w:r w:rsidR="00646DEF" w:rsidRPr="00357F13">
        <w:t xml:space="preserve">   </w:t>
      </w:r>
      <w:r w:rsidR="00061345" w:rsidRPr="00357F13">
        <w:tab/>
      </w:r>
      <w:r w:rsidR="00EE008D" w:rsidRPr="00357F13">
        <w:rPr>
          <w:sz w:val="24"/>
        </w:rPr>
        <w:t xml:space="preserve">Overview of </w:t>
      </w:r>
      <w:r w:rsidR="00200921" w:rsidRPr="00357F13">
        <w:rPr>
          <w:sz w:val="24"/>
        </w:rPr>
        <w:t>SBF Return</w:t>
      </w:r>
    </w:p>
    <w:p w:rsidR="002F0C76" w:rsidRPr="00357F13" w:rsidRDefault="00EE008D" w:rsidP="00D9198D">
      <w:pPr>
        <w:pStyle w:val="Heading3"/>
        <w:tabs>
          <w:tab w:val="clear" w:pos="851"/>
          <w:tab w:val="num" w:pos="1134"/>
        </w:tabs>
        <w:ind w:left="1134" w:hanging="1134"/>
        <w:rPr>
          <w:color w:val="auto"/>
        </w:rPr>
      </w:pPr>
      <w:r w:rsidRPr="00357F13">
        <w:t xml:space="preserve">A separate </w:t>
      </w:r>
      <w:r w:rsidR="00200921" w:rsidRPr="00357F13">
        <w:t>SBF Return</w:t>
      </w:r>
      <w:r w:rsidRPr="00357F13">
        <w:t xml:space="preserve"> must be submitted in respect of each syndicate</w:t>
      </w:r>
      <w:r w:rsidR="00A43071" w:rsidRPr="00357F13">
        <w:t>,</w:t>
      </w:r>
      <w:r w:rsidR="002F0C76" w:rsidRPr="00357F13">
        <w:t xml:space="preserve"> including Special </w:t>
      </w:r>
      <w:r w:rsidR="002F0C76" w:rsidRPr="00357F13">
        <w:rPr>
          <w:color w:val="auto"/>
        </w:rPr>
        <w:t>Purpose Arrangements (SPA).</w:t>
      </w:r>
    </w:p>
    <w:p w:rsidR="00EE008D" w:rsidRPr="00357F13" w:rsidRDefault="00EE008D" w:rsidP="00D9198D">
      <w:pPr>
        <w:pStyle w:val="Heading3"/>
        <w:tabs>
          <w:tab w:val="clear" w:pos="851"/>
          <w:tab w:val="left" w:pos="1134"/>
        </w:tabs>
        <w:ind w:left="1134" w:hanging="1134"/>
        <w:rPr>
          <w:color w:val="auto"/>
        </w:rPr>
      </w:pPr>
      <w:r w:rsidRPr="00357F13">
        <w:rPr>
          <w:color w:val="auto"/>
        </w:rPr>
        <w:t xml:space="preserve">The </w:t>
      </w:r>
      <w:r w:rsidR="004A397E" w:rsidRPr="00357F13">
        <w:rPr>
          <w:color w:val="auto"/>
        </w:rPr>
        <w:t>SBF</w:t>
      </w:r>
      <w:r w:rsidR="004005EA" w:rsidRPr="00357F13">
        <w:rPr>
          <w:color w:val="auto"/>
        </w:rPr>
        <w:t xml:space="preserve"> Return</w:t>
      </w:r>
      <w:r w:rsidR="004A397E" w:rsidRPr="00357F13">
        <w:rPr>
          <w:color w:val="auto"/>
        </w:rPr>
        <w:t xml:space="preserve"> </w:t>
      </w:r>
      <w:r w:rsidRPr="00357F13">
        <w:rPr>
          <w:color w:val="auto"/>
        </w:rPr>
        <w:t xml:space="preserve">must be completed in respect </w:t>
      </w:r>
      <w:r w:rsidR="00584FE4" w:rsidRPr="00357F13">
        <w:rPr>
          <w:color w:val="auto"/>
        </w:rPr>
        <w:t>of the prospective</w:t>
      </w:r>
      <w:r w:rsidR="00793899" w:rsidRPr="00357F13">
        <w:rPr>
          <w:color w:val="auto"/>
        </w:rPr>
        <w:t xml:space="preserve"> (</w:t>
      </w:r>
      <w:r w:rsidR="002779CA" w:rsidRPr="00357F13">
        <w:rPr>
          <w:color w:val="auto"/>
        </w:rPr>
        <w:t>20</w:t>
      </w:r>
      <w:r w:rsidR="00007A88" w:rsidRPr="00357F13">
        <w:rPr>
          <w:color w:val="auto"/>
        </w:rPr>
        <w:t>20</w:t>
      </w:r>
      <w:r w:rsidR="00793899" w:rsidRPr="00357F13">
        <w:rPr>
          <w:color w:val="auto"/>
        </w:rPr>
        <w:t>)</w:t>
      </w:r>
      <w:r w:rsidR="004A397E" w:rsidRPr="00357F13">
        <w:rPr>
          <w:color w:val="auto"/>
        </w:rPr>
        <w:t xml:space="preserve"> year</w:t>
      </w:r>
      <w:r w:rsidR="00793899" w:rsidRPr="00357F13">
        <w:rPr>
          <w:color w:val="auto"/>
        </w:rPr>
        <w:t xml:space="preserve"> of account</w:t>
      </w:r>
      <w:r w:rsidR="00E02B5C" w:rsidRPr="00357F13">
        <w:rPr>
          <w:color w:val="auto"/>
        </w:rPr>
        <w:t xml:space="preserve">; if any </w:t>
      </w:r>
      <w:r w:rsidR="009A470C" w:rsidRPr="00357F13">
        <w:rPr>
          <w:color w:val="auto"/>
        </w:rPr>
        <w:t>material change has occurred</w:t>
      </w:r>
      <w:r w:rsidR="00E02B5C" w:rsidRPr="00357F13">
        <w:rPr>
          <w:color w:val="auto"/>
        </w:rPr>
        <w:t xml:space="preserve"> for </w:t>
      </w:r>
      <w:r w:rsidR="002779CA" w:rsidRPr="00357F13">
        <w:rPr>
          <w:color w:val="auto"/>
        </w:rPr>
        <w:t>201</w:t>
      </w:r>
      <w:r w:rsidR="00007A88" w:rsidRPr="00357F13">
        <w:rPr>
          <w:color w:val="auto"/>
        </w:rPr>
        <w:t>9</w:t>
      </w:r>
      <w:r w:rsidR="00E02B5C" w:rsidRPr="00357F13">
        <w:rPr>
          <w:color w:val="auto"/>
        </w:rPr>
        <w:t xml:space="preserve"> </w:t>
      </w:r>
      <w:r w:rsidR="009A470C" w:rsidRPr="00357F13">
        <w:rPr>
          <w:color w:val="auto"/>
        </w:rPr>
        <w:t>a SBF</w:t>
      </w:r>
      <w:r w:rsidR="004005EA" w:rsidRPr="00357F13">
        <w:rPr>
          <w:color w:val="auto"/>
        </w:rPr>
        <w:t xml:space="preserve"> Return</w:t>
      </w:r>
      <w:r w:rsidR="009A470C" w:rsidRPr="00357F13">
        <w:rPr>
          <w:color w:val="auto"/>
        </w:rPr>
        <w:t xml:space="preserve"> for the current (</w:t>
      </w:r>
      <w:r w:rsidR="002779CA" w:rsidRPr="00357F13">
        <w:rPr>
          <w:color w:val="auto"/>
        </w:rPr>
        <w:t>201</w:t>
      </w:r>
      <w:r w:rsidR="00007A88" w:rsidRPr="00357F13">
        <w:rPr>
          <w:color w:val="auto"/>
        </w:rPr>
        <w:t>9</w:t>
      </w:r>
      <w:r w:rsidR="009A470C" w:rsidRPr="00357F13">
        <w:rPr>
          <w:color w:val="auto"/>
        </w:rPr>
        <w:t>) year of account may need to be submitted (please liaise with yo</w:t>
      </w:r>
      <w:r w:rsidR="00BB1C21" w:rsidRPr="00357F13">
        <w:rPr>
          <w:color w:val="auto"/>
        </w:rPr>
        <w:t xml:space="preserve">ur </w:t>
      </w:r>
      <w:r w:rsidR="00525577" w:rsidRPr="00357F13">
        <w:rPr>
          <w:color w:val="auto"/>
        </w:rPr>
        <w:t>S</w:t>
      </w:r>
      <w:r w:rsidR="006B3E62" w:rsidRPr="00357F13">
        <w:rPr>
          <w:color w:val="auto"/>
        </w:rPr>
        <w:t>B</w:t>
      </w:r>
      <w:r w:rsidR="00BB1C21" w:rsidRPr="00357F13">
        <w:rPr>
          <w:color w:val="auto"/>
        </w:rPr>
        <w:t xml:space="preserve">P </w:t>
      </w:r>
      <w:r w:rsidR="00D00774" w:rsidRPr="00357F13">
        <w:rPr>
          <w:color w:val="auto"/>
        </w:rPr>
        <w:t>manager</w:t>
      </w:r>
      <w:r w:rsidR="00BB1C21" w:rsidRPr="00357F13">
        <w:rPr>
          <w:color w:val="auto"/>
        </w:rPr>
        <w:t xml:space="preserve"> as appropriate).</w:t>
      </w:r>
    </w:p>
    <w:p w:rsidR="006E40D5" w:rsidRPr="00357F13" w:rsidRDefault="00D1621E" w:rsidP="00D9198D">
      <w:pPr>
        <w:pStyle w:val="Heading3"/>
        <w:tabs>
          <w:tab w:val="clear" w:pos="851"/>
          <w:tab w:val="num" w:pos="1134"/>
          <w:tab w:val="left" w:pos="1170"/>
        </w:tabs>
        <w:ind w:left="1134" w:hanging="1134"/>
      </w:pPr>
      <w:r w:rsidRPr="00357F13">
        <w:t>W</w:t>
      </w:r>
      <w:r w:rsidR="00EE008D" w:rsidRPr="00357F13">
        <w:t xml:space="preserve">hen setting up a return on the </w:t>
      </w:r>
      <w:r w:rsidR="002711B0" w:rsidRPr="00357F13">
        <w:t>Market Data Collections system</w:t>
      </w:r>
      <w:r w:rsidR="00EE008D" w:rsidRPr="00357F13">
        <w:t xml:space="preserve">, the user will be asked to </w:t>
      </w:r>
      <w:r w:rsidR="00395566" w:rsidRPr="00357F13">
        <w:t xml:space="preserve">complete </w:t>
      </w:r>
      <w:r w:rsidR="00DE2E85" w:rsidRPr="00357F13">
        <w:t>form SBF</w:t>
      </w:r>
      <w:r w:rsidR="00467911" w:rsidRPr="00357F13">
        <w:t>010 (</w:t>
      </w:r>
      <w:r w:rsidR="00413569" w:rsidRPr="00357F13">
        <w:rPr>
          <w:color w:val="auto"/>
        </w:rPr>
        <w:t>see</w:t>
      </w:r>
      <w:r w:rsidR="00413569" w:rsidRPr="00357F13">
        <w:rPr>
          <w:color w:val="FF0000"/>
        </w:rPr>
        <w:t xml:space="preserve"> </w:t>
      </w:r>
      <w:r w:rsidR="00467911" w:rsidRPr="00357F13">
        <w:t>Section 3 below)</w:t>
      </w:r>
      <w:r w:rsidR="009221D8" w:rsidRPr="00357F13">
        <w:t xml:space="preserve"> which reports</w:t>
      </w:r>
      <w:r w:rsidR="00EE008D" w:rsidRPr="00357F13">
        <w:t xml:space="preserve"> various information concerning the syndicate; </w:t>
      </w:r>
      <w:r w:rsidR="00B55C44" w:rsidRPr="00357F13">
        <w:t>e.g.</w:t>
      </w:r>
      <w:r w:rsidR="00EE008D" w:rsidRPr="00357F13">
        <w:t xml:space="preserve"> the applicable </w:t>
      </w:r>
      <w:r w:rsidR="007631F6" w:rsidRPr="00357F13">
        <w:t xml:space="preserve">reporting </w:t>
      </w:r>
      <w:r w:rsidR="00EE008D" w:rsidRPr="00357F13">
        <w:t>years</w:t>
      </w:r>
      <w:r w:rsidR="00793899" w:rsidRPr="00357F13">
        <w:t>.</w:t>
      </w:r>
      <w:r w:rsidR="00EE008D" w:rsidRPr="00357F13">
        <w:t xml:space="preserve"> The system will then generate the forms to be completed, and establish the validation rules to be adhered to, as appropriate to that syndicate’s circumstances.</w:t>
      </w:r>
      <w:r w:rsidR="00467911" w:rsidRPr="00357F13">
        <w:t xml:space="preserve"> </w:t>
      </w:r>
    </w:p>
    <w:p w:rsidR="00DA48DF" w:rsidRPr="00357F13" w:rsidRDefault="00781F19" w:rsidP="000C2C36">
      <w:pPr>
        <w:pStyle w:val="Heading2"/>
        <w:tabs>
          <w:tab w:val="num" w:pos="1134"/>
        </w:tabs>
        <w:ind w:left="0" w:firstLine="0"/>
      </w:pPr>
      <w:r w:rsidRPr="00357F13">
        <w:t xml:space="preserve">      </w:t>
      </w:r>
      <w:r w:rsidR="008741F4" w:rsidRPr="00357F13">
        <w:t xml:space="preserve"> </w:t>
      </w:r>
      <w:r w:rsidR="00061345" w:rsidRPr="00357F13">
        <w:tab/>
      </w:r>
      <w:r w:rsidR="00DA48DF" w:rsidRPr="00357F13">
        <w:rPr>
          <w:sz w:val="24"/>
          <w:szCs w:val="24"/>
        </w:rPr>
        <w:t>Syndicate classes of business</w:t>
      </w:r>
    </w:p>
    <w:p w:rsidR="002E73FB" w:rsidRPr="00357F13" w:rsidRDefault="005A31AE" w:rsidP="00D9198D">
      <w:pPr>
        <w:pStyle w:val="Heading3"/>
        <w:tabs>
          <w:tab w:val="clear" w:pos="851"/>
          <w:tab w:val="num" w:pos="1134"/>
        </w:tabs>
        <w:ind w:left="1134" w:hanging="1134"/>
      </w:pPr>
      <w:r w:rsidRPr="00357F13">
        <w:t xml:space="preserve">The </w:t>
      </w:r>
      <w:r w:rsidR="00B96092" w:rsidRPr="00357F13">
        <w:t>class of business</w:t>
      </w:r>
      <w:r w:rsidRPr="00357F13">
        <w:t xml:space="preserve"> split provided in the SBF </w:t>
      </w:r>
      <w:r w:rsidR="004005EA" w:rsidRPr="00357F13">
        <w:rPr>
          <w:color w:val="auto"/>
        </w:rPr>
        <w:t>Return</w:t>
      </w:r>
      <w:r w:rsidR="004005EA" w:rsidRPr="00357F13">
        <w:t xml:space="preserve"> </w:t>
      </w:r>
      <w:r w:rsidRPr="00357F13">
        <w:t xml:space="preserve">should be the same </w:t>
      </w:r>
      <w:r w:rsidR="00B96092" w:rsidRPr="00357F13">
        <w:t>class of business</w:t>
      </w:r>
      <w:r w:rsidRPr="00357F13">
        <w:t xml:space="preserve"> split that a syndicate uses to manage its own book</w:t>
      </w:r>
      <w:r w:rsidR="00E0616C" w:rsidRPr="00357F13">
        <w:t xml:space="preserve"> and should reflect the risk codes split as reported in the </w:t>
      </w:r>
      <w:r w:rsidR="001F0BB8" w:rsidRPr="00357F13">
        <w:t xml:space="preserve">Performance Management Data return </w:t>
      </w:r>
      <w:r w:rsidR="005A754A" w:rsidRPr="00357F13">
        <w:t>(</w:t>
      </w:r>
      <w:r w:rsidR="003021E6" w:rsidRPr="00357F13">
        <w:t>PMDR</w:t>
      </w:r>
      <w:r w:rsidR="005A754A" w:rsidRPr="00357F13">
        <w:t>)</w:t>
      </w:r>
      <w:r w:rsidR="00B23E87" w:rsidRPr="00357F13">
        <w:t>. T</w:t>
      </w:r>
      <w:r w:rsidR="003B179C" w:rsidRPr="00357F13">
        <w:t xml:space="preserve">hese classes should be sufficiently granular to allow effective performance monitoring </w:t>
      </w:r>
      <w:r w:rsidR="00B23E87" w:rsidRPr="00357F13">
        <w:t>by</w:t>
      </w:r>
      <w:r w:rsidR="003B179C" w:rsidRPr="00357F13">
        <w:t xml:space="preserve"> generic line of business. </w:t>
      </w:r>
      <w:r w:rsidRPr="00357F13">
        <w:t xml:space="preserve">This will allow </w:t>
      </w:r>
      <w:r w:rsidR="00B4045C" w:rsidRPr="00357F13">
        <w:t>PMD</w:t>
      </w:r>
      <w:r w:rsidRPr="00357F13">
        <w:t xml:space="preserve"> to assess the syndicate’s book using the same class split as used by syndicate management. These classes of business are carried forward to </w:t>
      </w:r>
      <w:r w:rsidR="00B9640F" w:rsidRPr="00357F13">
        <w:t xml:space="preserve">the Quarterly Monitoring </w:t>
      </w:r>
      <w:r w:rsidR="005A6B5B" w:rsidRPr="00357F13">
        <w:t>Return</w:t>
      </w:r>
      <w:r w:rsidR="006E40D5" w:rsidRPr="00357F13">
        <w:t xml:space="preserve"> B</w:t>
      </w:r>
      <w:r w:rsidR="005A754A" w:rsidRPr="00357F13">
        <w:t xml:space="preserve"> (QMB</w:t>
      </w:r>
      <w:r w:rsidR="00B9640F" w:rsidRPr="00357F13">
        <w:t xml:space="preserve">). </w:t>
      </w:r>
      <w:r w:rsidR="002E73FB" w:rsidRPr="00357F13">
        <w:t xml:space="preserve">Consistency of </w:t>
      </w:r>
      <w:r w:rsidR="00B96092" w:rsidRPr="00357F13">
        <w:t>class of business</w:t>
      </w:r>
      <w:r w:rsidR="002E73FB" w:rsidRPr="00357F13">
        <w:t xml:space="preserve"> definit</w:t>
      </w:r>
      <w:r w:rsidR="00683D32" w:rsidRPr="00357F13">
        <w:t xml:space="preserve">ions is a key principle of the </w:t>
      </w:r>
      <w:r w:rsidR="002711B0" w:rsidRPr="00357F13">
        <w:rPr>
          <w:rFonts w:cs="Arial"/>
        </w:rPr>
        <w:t xml:space="preserve">Market Data Collections </w:t>
      </w:r>
      <w:r w:rsidR="00683D32" w:rsidRPr="00357F13">
        <w:t>system</w:t>
      </w:r>
      <w:r w:rsidR="002E73FB" w:rsidRPr="00357F13">
        <w:t xml:space="preserve">. </w:t>
      </w:r>
      <w:r w:rsidR="00DE2E85" w:rsidRPr="00357F13">
        <w:t xml:space="preserve">Form </w:t>
      </w:r>
      <w:r w:rsidR="00BB1C21" w:rsidRPr="00357F13">
        <w:t>QMB</w:t>
      </w:r>
      <w:r w:rsidR="009F7F22" w:rsidRPr="00357F13">
        <w:t xml:space="preserve"> </w:t>
      </w:r>
      <w:r w:rsidR="004C4D31" w:rsidRPr="00357F13">
        <w:t xml:space="preserve">105 </w:t>
      </w:r>
      <w:r w:rsidR="00B9640F" w:rsidRPr="00357F13">
        <w:t>c</w:t>
      </w:r>
      <w:r w:rsidR="002E73FB" w:rsidRPr="00357F13">
        <w:t xml:space="preserve">an only be completed using </w:t>
      </w:r>
      <w:r w:rsidR="005A754A" w:rsidRPr="00357F13">
        <w:t>c</w:t>
      </w:r>
      <w:r w:rsidR="00B96092" w:rsidRPr="00357F13">
        <w:t>lasses of business</w:t>
      </w:r>
      <w:r w:rsidR="002E73FB" w:rsidRPr="00357F13">
        <w:t xml:space="preserve"> that have</w:t>
      </w:r>
      <w:r w:rsidR="004C4D31" w:rsidRPr="00357F13">
        <w:t xml:space="preserve"> been approved through the SBF.</w:t>
      </w:r>
    </w:p>
    <w:p w:rsidR="00DA48DF" w:rsidRPr="00357F13" w:rsidRDefault="00DA48DF" w:rsidP="00D9198D">
      <w:pPr>
        <w:pStyle w:val="Heading3"/>
        <w:tabs>
          <w:tab w:val="clear" w:pos="851"/>
          <w:tab w:val="num" w:pos="1134"/>
        </w:tabs>
        <w:ind w:left="1134" w:hanging="1134"/>
      </w:pPr>
      <w:bookmarkStart w:id="4" w:name="Patrick3"/>
      <w:r w:rsidRPr="00357F13">
        <w:t xml:space="preserve">All currently approved syndicate classes of business will be set </w:t>
      </w:r>
      <w:r w:rsidR="006E40D5" w:rsidRPr="00357F13">
        <w:t>up</w:t>
      </w:r>
      <w:r w:rsidRPr="00357F13">
        <w:t xml:space="preserve"> ready for use in the </w:t>
      </w:r>
      <w:r w:rsidR="00A43071" w:rsidRPr="00357F13">
        <w:t xml:space="preserve">final September </w:t>
      </w:r>
      <w:r w:rsidRPr="00357F13">
        <w:t>SBF.</w:t>
      </w:r>
    </w:p>
    <w:p w:rsidR="00CC42C9" w:rsidRPr="00357F13" w:rsidRDefault="008741F4" w:rsidP="000C2C36">
      <w:pPr>
        <w:pStyle w:val="Heading2"/>
        <w:tabs>
          <w:tab w:val="num" w:pos="1134"/>
        </w:tabs>
        <w:ind w:left="0" w:firstLine="0"/>
      </w:pPr>
      <w:bookmarkStart w:id="5" w:name="_Ref95723354"/>
      <w:bookmarkEnd w:id="4"/>
      <w:r w:rsidRPr="00357F13">
        <w:t xml:space="preserve">      </w:t>
      </w:r>
      <w:r w:rsidR="00061345" w:rsidRPr="00357F13">
        <w:tab/>
      </w:r>
      <w:r w:rsidR="00B96092" w:rsidRPr="00357F13">
        <w:rPr>
          <w:sz w:val="24"/>
          <w:szCs w:val="24"/>
        </w:rPr>
        <w:t>Class of business</w:t>
      </w:r>
      <w:r w:rsidR="00CC42C9" w:rsidRPr="00357F13">
        <w:rPr>
          <w:sz w:val="24"/>
          <w:szCs w:val="24"/>
        </w:rPr>
        <w:t xml:space="preserve"> </w:t>
      </w:r>
      <w:r w:rsidR="00DA48DF" w:rsidRPr="00357F13">
        <w:rPr>
          <w:sz w:val="24"/>
          <w:szCs w:val="24"/>
        </w:rPr>
        <w:t>r</w:t>
      </w:r>
      <w:r w:rsidR="00CC42C9" w:rsidRPr="00357F13">
        <w:rPr>
          <w:sz w:val="24"/>
          <w:szCs w:val="24"/>
        </w:rPr>
        <w:t>eclassification</w:t>
      </w:r>
      <w:bookmarkEnd w:id="5"/>
    </w:p>
    <w:p w:rsidR="00F66C63" w:rsidRPr="00357F13" w:rsidRDefault="00F66C63" w:rsidP="00D9198D">
      <w:pPr>
        <w:pStyle w:val="Heading3"/>
        <w:tabs>
          <w:tab w:val="clear" w:pos="851"/>
          <w:tab w:val="num" w:pos="1134"/>
        </w:tabs>
        <w:ind w:left="1134" w:hanging="1134"/>
      </w:pPr>
      <w:r w:rsidRPr="00357F13">
        <w:t xml:space="preserve">If agents intend to re-classify their classes of business they are required to apply to </w:t>
      </w:r>
      <w:r w:rsidR="006B3E62" w:rsidRPr="00357F13">
        <w:t>SB</w:t>
      </w:r>
      <w:r w:rsidR="00683D32" w:rsidRPr="00357F13">
        <w:t>P</w:t>
      </w:r>
      <w:r w:rsidR="00DF27DD" w:rsidRPr="00357F13">
        <w:t xml:space="preserve"> </w:t>
      </w:r>
      <w:r w:rsidRPr="00357F13">
        <w:t>in writing for permission before the submission deadline.</w:t>
      </w:r>
      <w:r w:rsidR="00E04A23" w:rsidRPr="00357F13">
        <w:t xml:space="preserve"> </w:t>
      </w:r>
      <w:r w:rsidRPr="00357F13">
        <w:t xml:space="preserve">If permission is </w:t>
      </w:r>
      <w:r w:rsidR="00AF3226" w:rsidRPr="00357F13">
        <w:t>granted,</w:t>
      </w:r>
      <w:r w:rsidRPr="00357F13">
        <w:t xml:space="preserve"> then they must supply </w:t>
      </w:r>
      <w:r w:rsidR="006B3E62" w:rsidRPr="00357F13">
        <w:t>SB</w:t>
      </w:r>
      <w:r w:rsidR="00683D32" w:rsidRPr="00357F13">
        <w:t>P</w:t>
      </w:r>
      <w:r w:rsidR="00DF27DD" w:rsidRPr="00357F13">
        <w:t xml:space="preserve"> </w:t>
      </w:r>
      <w:r w:rsidRPr="00357F13">
        <w:t>with a new SBF</w:t>
      </w:r>
      <w:r w:rsidR="00DE2E85" w:rsidRPr="00357F13">
        <w:t xml:space="preserve"> </w:t>
      </w:r>
      <w:r w:rsidR="00DE2E85" w:rsidRPr="00357F13">
        <w:rPr>
          <w:color w:val="auto"/>
        </w:rPr>
        <w:t>Return</w:t>
      </w:r>
      <w:r w:rsidRPr="00357F13">
        <w:t xml:space="preserve"> reflecting the changes to the classes of business.</w:t>
      </w:r>
      <w:r w:rsidR="002E6CA1" w:rsidRPr="00357F13">
        <w:t xml:space="preserve"> Note that agents can only re-classify for the current year and the prospective year, re-classification is not possible for prior years.</w:t>
      </w:r>
    </w:p>
    <w:p w:rsidR="00CC42C9" w:rsidRPr="00357F13" w:rsidRDefault="00CC42C9" w:rsidP="00D9198D">
      <w:pPr>
        <w:pStyle w:val="Heading3"/>
        <w:tabs>
          <w:tab w:val="clear" w:pos="851"/>
          <w:tab w:val="num" w:pos="1134"/>
        </w:tabs>
        <w:ind w:left="1134" w:hanging="1134"/>
      </w:pPr>
      <w:r w:rsidRPr="00357F13">
        <w:t>Reclassification of classes of business, as opposed to just adding a new class, requires a number of data items and mappings to be updated. This is to ensure that the historic development under the new classes can be identified and mon</w:t>
      </w:r>
      <w:r w:rsidR="00F66C63" w:rsidRPr="00357F13">
        <w:t>itored</w:t>
      </w:r>
      <w:r w:rsidR="0045270D" w:rsidRPr="00357F13">
        <w:t xml:space="preserve"> in future</w:t>
      </w:r>
      <w:r w:rsidR="00F66C63" w:rsidRPr="00357F13">
        <w:t>.</w:t>
      </w:r>
      <w:r w:rsidR="0045270D" w:rsidRPr="00357F13">
        <w:t xml:space="preserve"> However, syndicate</w:t>
      </w:r>
      <w:r w:rsidR="001305F6" w:rsidRPr="00357F13">
        <w:t>s</w:t>
      </w:r>
      <w:r w:rsidR="0045270D" w:rsidRPr="00357F13">
        <w:t xml:space="preserve"> are still required to submit </w:t>
      </w:r>
      <w:r w:rsidR="00BB1C21" w:rsidRPr="00357F13">
        <w:t>QMB</w:t>
      </w:r>
      <w:r w:rsidR="0045270D" w:rsidRPr="00357F13">
        <w:t xml:space="preserve"> data based on ‘old’ classification for all Open Years.</w:t>
      </w:r>
    </w:p>
    <w:p w:rsidR="00CC42C9" w:rsidRPr="00357F13" w:rsidRDefault="00CC42C9" w:rsidP="00235165">
      <w:pPr>
        <w:pStyle w:val="Heading3"/>
        <w:numPr>
          <w:ilvl w:val="0"/>
          <w:numId w:val="0"/>
        </w:numPr>
        <w:tabs>
          <w:tab w:val="clear" w:pos="851"/>
          <w:tab w:val="num" w:pos="1288"/>
        </w:tabs>
        <w:ind w:left="1134"/>
      </w:pPr>
      <w:r w:rsidRPr="00357F13">
        <w:t>In practice, a root and branch reclassification happens only rarely so Lloyd’s will adopt a bespoke approach rather than attempt to devise software for every eventuality.</w:t>
      </w:r>
    </w:p>
    <w:p w:rsidR="00B06613" w:rsidRPr="00357F13" w:rsidRDefault="00A43071" w:rsidP="000C2C36">
      <w:pPr>
        <w:pStyle w:val="Heading2"/>
        <w:tabs>
          <w:tab w:val="num" w:pos="1134"/>
        </w:tabs>
        <w:ind w:left="0" w:firstLine="0"/>
      </w:pPr>
      <w:bookmarkStart w:id="6" w:name="_Ref95536996"/>
      <w:r w:rsidRPr="00357F13">
        <w:t xml:space="preserve"> </w:t>
      </w:r>
      <w:r w:rsidR="008741F4" w:rsidRPr="00357F13">
        <w:t xml:space="preserve">      </w:t>
      </w:r>
      <w:r w:rsidR="00061345" w:rsidRPr="00357F13">
        <w:tab/>
      </w:r>
      <w:r w:rsidR="00B06613" w:rsidRPr="00357F13">
        <w:rPr>
          <w:sz w:val="24"/>
          <w:szCs w:val="24"/>
        </w:rPr>
        <w:t>Data entry and reporting</w:t>
      </w:r>
    </w:p>
    <w:p w:rsidR="00B06613" w:rsidRPr="00357F13" w:rsidRDefault="00B06613" w:rsidP="00D9198D">
      <w:pPr>
        <w:pStyle w:val="Heading3"/>
        <w:tabs>
          <w:tab w:val="clear" w:pos="851"/>
          <w:tab w:val="num" w:pos="1134"/>
        </w:tabs>
        <w:ind w:left="1134" w:hanging="1134"/>
        <w:rPr>
          <w:sz w:val="20"/>
        </w:rPr>
      </w:pPr>
      <w:r w:rsidRPr="00357F13">
        <w:t xml:space="preserve">All numbers on forms are to be supplied in units (rather than ‘000s) or percentages.  Decimals are permitted. Numbers will be rounded for display and reporting </w:t>
      </w:r>
      <w:r w:rsidR="002B1C38" w:rsidRPr="00357F13">
        <w:t>only,</w:t>
      </w:r>
      <w:r w:rsidRPr="00357F13">
        <w:t xml:space="preserve"> and financial amounts will generally be presented as 000s.</w:t>
      </w:r>
    </w:p>
    <w:p w:rsidR="00B06613" w:rsidRPr="00357F13" w:rsidRDefault="00B06613" w:rsidP="00D9198D">
      <w:pPr>
        <w:pStyle w:val="Heading3"/>
        <w:tabs>
          <w:tab w:val="clear" w:pos="851"/>
          <w:tab w:val="num" w:pos="1134"/>
        </w:tabs>
        <w:ind w:left="1134" w:hanging="1134"/>
      </w:pPr>
      <w:r w:rsidRPr="00357F13">
        <w:t xml:space="preserve">Throughout the </w:t>
      </w:r>
      <w:r w:rsidR="00200921" w:rsidRPr="00357F13">
        <w:t>SBF Return</w:t>
      </w:r>
      <w:r w:rsidRPr="00357F13">
        <w:t xml:space="preserve"> positive or negative entries are expected to be made depending on the nature of the field in question.  Generally, all income/asset items are to be entered as positives and expenditures/liabilities as negatives.  If a number is supplied </w:t>
      </w:r>
      <w:r w:rsidR="00AD2E2F" w:rsidRPr="00357F13">
        <w:t xml:space="preserve">and its </w:t>
      </w:r>
      <w:r w:rsidRPr="00357F13">
        <w:t xml:space="preserve">sign is contradictory to </w:t>
      </w:r>
      <w:r w:rsidR="003464CF" w:rsidRPr="00357F13">
        <w:t>expectations,</w:t>
      </w:r>
      <w:r w:rsidRPr="00357F13">
        <w:t xml:space="preserve"> then the software will generate a warning message.</w:t>
      </w:r>
    </w:p>
    <w:p w:rsidR="00EE008D" w:rsidRPr="00357F13" w:rsidRDefault="00A43071" w:rsidP="000C2C36">
      <w:pPr>
        <w:pStyle w:val="Heading2"/>
        <w:tabs>
          <w:tab w:val="num" w:pos="1134"/>
        </w:tabs>
        <w:ind w:left="0" w:firstLine="0"/>
      </w:pPr>
      <w:r w:rsidRPr="00357F13">
        <w:t xml:space="preserve"> </w:t>
      </w:r>
      <w:r w:rsidR="008741F4" w:rsidRPr="00357F13">
        <w:t xml:space="preserve">      </w:t>
      </w:r>
      <w:r w:rsidR="00061345" w:rsidRPr="00357F13">
        <w:tab/>
      </w:r>
      <w:r w:rsidR="00EE008D" w:rsidRPr="00357F13">
        <w:rPr>
          <w:sz w:val="24"/>
          <w:szCs w:val="24"/>
        </w:rPr>
        <w:t>Electronic reporting</w:t>
      </w:r>
      <w:bookmarkEnd w:id="6"/>
    </w:p>
    <w:p w:rsidR="0038191D" w:rsidRPr="00357F13" w:rsidRDefault="00A234B0" w:rsidP="00D9198D">
      <w:pPr>
        <w:pStyle w:val="Heading3"/>
        <w:tabs>
          <w:tab w:val="clear" w:pos="851"/>
          <w:tab w:val="num" w:pos="1134"/>
        </w:tabs>
        <w:ind w:left="1134" w:hanging="1134"/>
        <w:rPr>
          <w:color w:val="auto"/>
        </w:rPr>
      </w:pPr>
      <w:r w:rsidRPr="00357F13">
        <w:rPr>
          <w:color w:val="auto"/>
        </w:rPr>
        <w:t>T</w:t>
      </w:r>
      <w:r w:rsidR="00EE008D" w:rsidRPr="00357F13">
        <w:rPr>
          <w:color w:val="auto"/>
        </w:rPr>
        <w:t xml:space="preserve">he </w:t>
      </w:r>
      <w:r w:rsidR="00200921" w:rsidRPr="00357F13">
        <w:rPr>
          <w:color w:val="auto"/>
        </w:rPr>
        <w:t>SBF Return</w:t>
      </w:r>
      <w:r w:rsidR="00EE008D" w:rsidRPr="00357F13">
        <w:rPr>
          <w:color w:val="auto"/>
        </w:rPr>
        <w:t xml:space="preserve"> must be completed </w:t>
      </w:r>
      <w:r w:rsidR="00600DA7" w:rsidRPr="00357F13">
        <w:rPr>
          <w:color w:val="auto"/>
        </w:rPr>
        <w:t xml:space="preserve">using the </w:t>
      </w:r>
      <w:r w:rsidR="002711B0" w:rsidRPr="00357F13">
        <w:rPr>
          <w:rFonts w:cs="Arial"/>
        </w:rPr>
        <w:t>Market Data Collections system</w:t>
      </w:r>
      <w:r w:rsidR="00600DA7" w:rsidRPr="00357F13">
        <w:rPr>
          <w:color w:val="FF6600"/>
        </w:rPr>
        <w:t xml:space="preserve">. </w:t>
      </w:r>
      <w:r w:rsidR="00683D32" w:rsidRPr="00357F13">
        <w:rPr>
          <w:color w:val="auto"/>
        </w:rPr>
        <w:t>Managing a</w:t>
      </w:r>
      <w:r w:rsidR="002B0469" w:rsidRPr="00357F13">
        <w:rPr>
          <w:color w:val="auto"/>
        </w:rPr>
        <w:t>gents must not make submissions through any other route or mechanism.</w:t>
      </w:r>
    </w:p>
    <w:p w:rsidR="0038191D" w:rsidRPr="00357F13" w:rsidRDefault="0038191D" w:rsidP="00D9198D">
      <w:pPr>
        <w:pStyle w:val="Heading3"/>
        <w:tabs>
          <w:tab w:val="clear" w:pos="851"/>
          <w:tab w:val="num" w:pos="1134"/>
        </w:tabs>
        <w:ind w:left="1134" w:hanging="1134"/>
        <w:rPr>
          <w:color w:val="auto"/>
        </w:rPr>
      </w:pPr>
      <w:r w:rsidRPr="00357F13">
        <w:t xml:space="preserve">The </w:t>
      </w:r>
      <w:r w:rsidR="00200921" w:rsidRPr="00357F13">
        <w:t>SBF Return</w:t>
      </w:r>
      <w:r w:rsidR="00AD4A19" w:rsidRPr="00357F13">
        <w:t xml:space="preserve"> </w:t>
      </w:r>
      <w:r w:rsidRPr="00357F13">
        <w:t xml:space="preserve">must </w:t>
      </w:r>
      <w:r w:rsidR="00AD4A19" w:rsidRPr="00357F13">
        <w:t>be signed off by two Executive D</w:t>
      </w:r>
      <w:r w:rsidRPr="00357F13">
        <w:t xml:space="preserve">irectors.  Use of the sign-off function in the software constitutes formal notification to Lloyd’s that the </w:t>
      </w:r>
      <w:r w:rsidR="00200921" w:rsidRPr="00357F13">
        <w:t>SBF Return</w:t>
      </w:r>
      <w:r w:rsidRPr="00357F13">
        <w:t xml:space="preserve"> has been approved by a pers</w:t>
      </w:r>
      <w:r w:rsidR="00AD4A19" w:rsidRPr="00357F13">
        <w:t>on authorised to represent the D</w:t>
      </w:r>
      <w:r w:rsidRPr="00357F13">
        <w:t>irectors.</w:t>
      </w:r>
    </w:p>
    <w:p w:rsidR="00897C2C" w:rsidRPr="00357F13" w:rsidRDefault="00897C2C" w:rsidP="00D9198D">
      <w:pPr>
        <w:pStyle w:val="Heading3"/>
        <w:tabs>
          <w:tab w:val="clear" w:pos="851"/>
          <w:tab w:val="num" w:pos="1134"/>
        </w:tabs>
        <w:ind w:left="1134" w:hanging="1134"/>
      </w:pPr>
      <w:r w:rsidRPr="00357F13">
        <w:t>The information gathered will be strictly for Lloyd’s internal use only and will be treated in the strictest confidence.</w:t>
      </w:r>
    </w:p>
    <w:p w:rsidR="00EE008D" w:rsidRPr="00357F13" w:rsidRDefault="008741F4" w:rsidP="000C2C36">
      <w:pPr>
        <w:pStyle w:val="Heading2"/>
        <w:tabs>
          <w:tab w:val="num" w:pos="1134"/>
        </w:tabs>
        <w:ind w:left="0" w:firstLine="0"/>
      </w:pPr>
      <w:bookmarkStart w:id="7" w:name="_Ref95718692"/>
      <w:r w:rsidRPr="00357F13">
        <w:t xml:space="preserve">       </w:t>
      </w:r>
      <w:r w:rsidR="00061345" w:rsidRPr="00357F13">
        <w:tab/>
      </w:r>
      <w:r w:rsidR="00AC68BC" w:rsidRPr="00357F13">
        <w:rPr>
          <w:sz w:val="24"/>
          <w:szCs w:val="24"/>
        </w:rPr>
        <w:t>Submission d</w:t>
      </w:r>
      <w:r w:rsidR="00EE008D" w:rsidRPr="00357F13">
        <w:rPr>
          <w:sz w:val="24"/>
          <w:szCs w:val="24"/>
        </w:rPr>
        <w:t>eadline</w:t>
      </w:r>
      <w:r w:rsidR="00AC68BC" w:rsidRPr="00357F13">
        <w:rPr>
          <w:sz w:val="24"/>
          <w:szCs w:val="24"/>
        </w:rPr>
        <w:t>s</w:t>
      </w:r>
      <w:bookmarkEnd w:id="7"/>
    </w:p>
    <w:p w:rsidR="00A231EB" w:rsidRPr="00357F13" w:rsidRDefault="00EE008D" w:rsidP="00D9198D">
      <w:pPr>
        <w:pStyle w:val="Heading3"/>
        <w:tabs>
          <w:tab w:val="clear" w:pos="851"/>
          <w:tab w:val="num" w:pos="1134"/>
        </w:tabs>
        <w:ind w:left="1134" w:hanging="1134"/>
      </w:pPr>
      <w:r w:rsidRPr="00357F13">
        <w:t>Managing agents will be subject to disciplinary action and fines will be imposed if the return is submitted after the due deadline</w:t>
      </w:r>
      <w:r w:rsidR="00A231EB" w:rsidRPr="00357F13">
        <w:t>, in accordance with the following schedule:</w:t>
      </w:r>
    </w:p>
    <w:p w:rsidR="003F56E8" w:rsidRPr="00357F13" w:rsidRDefault="008E26AA" w:rsidP="008E26AA">
      <w:pPr>
        <w:widowControl w:val="0"/>
        <w:tabs>
          <w:tab w:val="left" w:pos="1134"/>
        </w:tabs>
        <w:ind w:left="1134" w:hanging="1134"/>
        <w:rPr>
          <w:snapToGrid w:val="0"/>
        </w:rPr>
      </w:pPr>
      <w:r w:rsidRPr="00357F13">
        <w:rPr>
          <w:snapToGrid w:val="0"/>
        </w:rPr>
        <w:tab/>
      </w:r>
      <w:r w:rsidR="00A231EB" w:rsidRPr="00357F13">
        <w:rPr>
          <w:snapToGrid w:val="0"/>
        </w:rPr>
        <w:t>Per return</w:t>
      </w:r>
      <w:r w:rsidR="00100322" w:rsidRPr="00357F13">
        <w:rPr>
          <w:snapToGrid w:val="0"/>
        </w:rPr>
        <w:t xml:space="preserve"> per syndicate – flat fine </w:t>
      </w:r>
      <w:r w:rsidR="00A231EB" w:rsidRPr="00357F13">
        <w:rPr>
          <w:snapToGrid w:val="0"/>
        </w:rPr>
        <w:t>£5,000</w:t>
      </w:r>
    </w:p>
    <w:p w:rsidR="003F56E8" w:rsidRPr="00357F13" w:rsidRDefault="003F56E8" w:rsidP="008E26AA">
      <w:pPr>
        <w:tabs>
          <w:tab w:val="left" w:pos="1134"/>
        </w:tabs>
        <w:ind w:left="1134" w:hanging="1134"/>
        <w:rPr>
          <w:snapToGrid w:val="0"/>
        </w:rPr>
      </w:pPr>
    </w:p>
    <w:p w:rsidR="00A231EB" w:rsidRPr="00357F13" w:rsidRDefault="00A231EB" w:rsidP="00D9198D">
      <w:pPr>
        <w:pStyle w:val="Heading3"/>
        <w:tabs>
          <w:tab w:val="clear" w:pos="851"/>
          <w:tab w:val="num" w:pos="1134"/>
        </w:tabs>
        <w:ind w:left="1134" w:hanging="1134"/>
      </w:pPr>
      <w:r w:rsidRPr="00357F13">
        <w:rPr>
          <w:snapToGrid w:val="0"/>
        </w:rPr>
        <w:t>Persistent delays will lead to further disciplinary action.</w:t>
      </w:r>
    </w:p>
    <w:p w:rsidR="00EE008D" w:rsidRPr="00357F13" w:rsidRDefault="008741F4" w:rsidP="000C2C36">
      <w:pPr>
        <w:pStyle w:val="Heading2"/>
        <w:tabs>
          <w:tab w:val="num" w:pos="1134"/>
        </w:tabs>
        <w:ind w:left="0" w:firstLine="0"/>
      </w:pPr>
      <w:r w:rsidRPr="00357F13">
        <w:t xml:space="preserve">       </w:t>
      </w:r>
      <w:r w:rsidR="00061345" w:rsidRPr="00357F13">
        <w:tab/>
      </w:r>
      <w:r w:rsidR="00EE008D" w:rsidRPr="00357F13">
        <w:rPr>
          <w:sz w:val="24"/>
          <w:szCs w:val="24"/>
        </w:rPr>
        <w:t>Assistance in completing forms</w:t>
      </w:r>
    </w:p>
    <w:p w:rsidR="00316506" w:rsidRPr="00357F13" w:rsidRDefault="00EE008D" w:rsidP="00235165">
      <w:pPr>
        <w:pStyle w:val="Heading3"/>
        <w:tabs>
          <w:tab w:val="clear" w:pos="851"/>
          <w:tab w:val="num" w:pos="1134"/>
        </w:tabs>
        <w:ind w:left="1134" w:hanging="1134"/>
      </w:pPr>
      <w:r w:rsidRPr="00357F13">
        <w:t>Any queries about the completion of the</w:t>
      </w:r>
      <w:r w:rsidR="00A10366" w:rsidRPr="00357F13">
        <w:t xml:space="preserve"> SBF</w:t>
      </w:r>
      <w:r w:rsidRPr="00357F13">
        <w:t xml:space="preserve"> </w:t>
      </w:r>
      <w:r w:rsidR="00DE2E85" w:rsidRPr="00357F13">
        <w:t xml:space="preserve">Return </w:t>
      </w:r>
      <w:r w:rsidRPr="00357F13">
        <w:t>should be directed by e</w:t>
      </w:r>
      <w:r w:rsidR="00DF0133" w:rsidRPr="00357F13">
        <w:t>-</w:t>
      </w:r>
      <w:r w:rsidRPr="00357F13">
        <w:t xml:space="preserve">mail to </w:t>
      </w:r>
      <w:r w:rsidR="00303DFE" w:rsidRPr="00357F13">
        <w:t>PMD</w:t>
      </w:r>
      <w:r w:rsidR="00DA48DF" w:rsidRPr="00357F13">
        <w:t xml:space="preserve"> </w:t>
      </w:r>
      <w:r w:rsidRPr="00357F13">
        <w:t xml:space="preserve">at </w:t>
      </w:r>
      <w:r w:rsidR="00DA48DF" w:rsidRPr="00357F13">
        <w:t>(</w:t>
      </w:r>
      <w:hyperlink r:id="rId20" w:history="1">
        <w:r w:rsidR="00B73DA4" w:rsidRPr="00357F13">
          <w:rPr>
            <w:rStyle w:val="Hyperlink"/>
          </w:rPr>
          <w:t>Lloyds-SBFReturns@lloyds.com</w:t>
        </w:r>
      </w:hyperlink>
      <w:r w:rsidR="00DA48DF" w:rsidRPr="00357F13">
        <w:t>)</w:t>
      </w:r>
      <w:r w:rsidRPr="00357F13">
        <w:t xml:space="preserve">.  </w:t>
      </w:r>
    </w:p>
    <w:p w:rsidR="00316506" w:rsidRPr="00357F13" w:rsidRDefault="00316506" w:rsidP="00CB2168">
      <w:pPr>
        <w:pStyle w:val="Heading3"/>
        <w:numPr>
          <w:ilvl w:val="0"/>
          <w:numId w:val="0"/>
        </w:numPr>
        <w:tabs>
          <w:tab w:val="clear" w:pos="851"/>
          <w:tab w:val="left" w:pos="1134"/>
        </w:tabs>
        <w:ind w:left="1134"/>
      </w:pPr>
    </w:p>
    <w:p w:rsidR="00911DE6" w:rsidRPr="00357F13" w:rsidRDefault="003C5D3C" w:rsidP="00911DE6">
      <w:pPr>
        <w:pStyle w:val="Heading1"/>
        <w:tabs>
          <w:tab w:val="clear" w:pos="783"/>
          <w:tab w:val="num" w:pos="1134"/>
        </w:tabs>
        <w:ind w:left="1134" w:hanging="1134"/>
      </w:pPr>
      <w:bookmarkStart w:id="8" w:name="_Toc264275396"/>
      <w:bookmarkStart w:id="9" w:name="_Toc452126152"/>
      <w:r w:rsidRPr="00357F13">
        <w:t>BASIS OF PREPARATION</w:t>
      </w:r>
      <w:bookmarkEnd w:id="8"/>
      <w:bookmarkEnd w:id="9"/>
    </w:p>
    <w:p w:rsidR="00211A19" w:rsidRPr="00357F13" w:rsidRDefault="00211A19" w:rsidP="00211A19"/>
    <w:p w:rsidR="00A3519A" w:rsidRPr="00357F13" w:rsidRDefault="008741F4" w:rsidP="000C2C36">
      <w:pPr>
        <w:pStyle w:val="Heading2"/>
        <w:tabs>
          <w:tab w:val="num" w:pos="1134"/>
        </w:tabs>
        <w:ind w:left="0" w:firstLine="0"/>
      </w:pPr>
      <w:r w:rsidRPr="00357F13">
        <w:t xml:space="preserve">       </w:t>
      </w:r>
      <w:r w:rsidR="00061345" w:rsidRPr="00357F13">
        <w:tab/>
      </w:r>
      <w:r w:rsidR="00A3519A" w:rsidRPr="00357F13">
        <w:rPr>
          <w:sz w:val="24"/>
          <w:szCs w:val="24"/>
        </w:rPr>
        <w:t>Bes</w:t>
      </w:r>
      <w:r w:rsidR="00AD4A19" w:rsidRPr="00357F13">
        <w:rPr>
          <w:sz w:val="24"/>
          <w:szCs w:val="24"/>
        </w:rPr>
        <w:t>t e</w:t>
      </w:r>
      <w:r w:rsidR="00A3519A" w:rsidRPr="00357F13">
        <w:rPr>
          <w:sz w:val="24"/>
          <w:szCs w:val="24"/>
        </w:rPr>
        <w:t>stimates</w:t>
      </w:r>
    </w:p>
    <w:p w:rsidR="00BE23C8" w:rsidRPr="00357F13" w:rsidRDefault="00BE23C8" w:rsidP="00C35CD8">
      <w:pPr>
        <w:pStyle w:val="Heading3"/>
        <w:tabs>
          <w:tab w:val="clear" w:pos="851"/>
          <w:tab w:val="num" w:pos="1134"/>
          <w:tab w:val="left" w:pos="1170"/>
        </w:tabs>
        <w:ind w:left="1134" w:hanging="1134"/>
      </w:pPr>
      <w:r w:rsidRPr="00357F13">
        <w:t>The business plan is to be completed on a ‘best estimate’ basis. For the purposes of the SBF, ‘best estimate’ is defined as the probability-weighted average of future cashflows without discounting for present value.</w:t>
      </w:r>
    </w:p>
    <w:p w:rsidR="00A3519A" w:rsidRPr="00357F13" w:rsidRDefault="00B77AC9" w:rsidP="00C35CD8">
      <w:pPr>
        <w:pStyle w:val="Heading3"/>
        <w:tabs>
          <w:tab w:val="clear" w:pos="851"/>
          <w:tab w:val="clear" w:pos="1288"/>
          <w:tab w:val="left" w:pos="1170"/>
          <w:tab w:val="num" w:pos="1276"/>
        </w:tabs>
        <w:ind w:left="1134" w:hanging="1134"/>
      </w:pPr>
      <w:r w:rsidRPr="00357F13">
        <w:t>The ‘</w:t>
      </w:r>
      <w:r w:rsidR="003C1858" w:rsidRPr="00357F13">
        <w:t>b</w:t>
      </w:r>
      <w:r w:rsidRPr="00357F13">
        <w:t xml:space="preserve">est estimate’ figures should be supported </w:t>
      </w:r>
      <w:r w:rsidR="00915A08" w:rsidRPr="00357F13">
        <w:t>by both the</w:t>
      </w:r>
      <w:r w:rsidRPr="00357F13">
        <w:t xml:space="preserve"> </w:t>
      </w:r>
      <w:r w:rsidR="00915A08" w:rsidRPr="00357F13">
        <w:t>historical experience and the technical pricing margins capable of being achieved in the class, having made suitable provision for attritional, large and cat</w:t>
      </w:r>
      <w:r w:rsidR="001F0BB8" w:rsidRPr="00357F13">
        <w:t>astrophe</w:t>
      </w:r>
      <w:r w:rsidR="00915A08" w:rsidRPr="00357F13">
        <w:t xml:space="preserve"> claims. </w:t>
      </w:r>
    </w:p>
    <w:p w:rsidR="00DE45F0" w:rsidRPr="00357F13" w:rsidRDefault="00DE45F0" w:rsidP="00235165">
      <w:pPr>
        <w:pStyle w:val="Heading3"/>
        <w:tabs>
          <w:tab w:val="clear" w:pos="851"/>
          <w:tab w:val="clear" w:pos="1288"/>
          <w:tab w:val="left" w:pos="1170"/>
          <w:tab w:val="num" w:pos="1276"/>
        </w:tabs>
        <w:ind w:left="1134" w:hanging="1134"/>
      </w:pPr>
      <w:r w:rsidRPr="00357F13">
        <w:t xml:space="preserve">The </w:t>
      </w:r>
      <w:r w:rsidR="00797CD3" w:rsidRPr="00357F13">
        <w:t xml:space="preserve">SBF and QMB returns should be prepared on a </w:t>
      </w:r>
      <w:r w:rsidRPr="00357F13">
        <w:t>consistent</w:t>
      </w:r>
      <w:r w:rsidR="00797CD3" w:rsidRPr="00357F13">
        <w:t xml:space="preserve"> basis.</w:t>
      </w:r>
    </w:p>
    <w:p w:rsidR="00B729EB" w:rsidRPr="00357F13" w:rsidRDefault="008741F4" w:rsidP="000C2C36">
      <w:pPr>
        <w:pStyle w:val="Heading2"/>
        <w:tabs>
          <w:tab w:val="num" w:pos="1134"/>
        </w:tabs>
        <w:ind w:left="0" w:firstLine="0"/>
      </w:pPr>
      <w:r w:rsidRPr="00357F13">
        <w:t xml:space="preserve">      </w:t>
      </w:r>
      <w:r w:rsidR="00781F19" w:rsidRPr="00357F13">
        <w:t xml:space="preserve"> </w:t>
      </w:r>
      <w:r w:rsidR="00061345" w:rsidRPr="00357F13">
        <w:tab/>
      </w:r>
      <w:r w:rsidR="00C226B7" w:rsidRPr="00357F13">
        <w:rPr>
          <w:sz w:val="24"/>
          <w:szCs w:val="24"/>
        </w:rPr>
        <w:t>R</w:t>
      </w:r>
      <w:r w:rsidR="00B729EB" w:rsidRPr="00357F13">
        <w:rPr>
          <w:sz w:val="24"/>
          <w:szCs w:val="24"/>
        </w:rPr>
        <w:t>eporting</w:t>
      </w:r>
      <w:r w:rsidR="00C226B7" w:rsidRPr="00357F13">
        <w:rPr>
          <w:sz w:val="24"/>
          <w:szCs w:val="24"/>
        </w:rPr>
        <w:t xml:space="preserve"> by </w:t>
      </w:r>
      <w:r w:rsidR="001C20CA" w:rsidRPr="00357F13">
        <w:rPr>
          <w:sz w:val="24"/>
          <w:szCs w:val="24"/>
        </w:rPr>
        <w:t>all reporting years combined</w:t>
      </w:r>
      <w:r w:rsidR="00C226B7" w:rsidRPr="00357F13">
        <w:rPr>
          <w:sz w:val="24"/>
          <w:szCs w:val="24"/>
        </w:rPr>
        <w:t>/reporting year/pure year</w:t>
      </w:r>
    </w:p>
    <w:p w:rsidR="00B729EB" w:rsidRPr="00357F13" w:rsidRDefault="00B729EB" w:rsidP="00C35CD8">
      <w:pPr>
        <w:pStyle w:val="Heading3"/>
        <w:tabs>
          <w:tab w:val="clear" w:pos="851"/>
          <w:tab w:val="clear" w:pos="1288"/>
          <w:tab w:val="left" w:pos="1134"/>
          <w:tab w:val="left" w:pos="1170"/>
          <w:tab w:val="num" w:pos="1276"/>
        </w:tabs>
        <w:ind w:left="1134" w:hanging="1134"/>
      </w:pPr>
      <w:r w:rsidRPr="00357F13">
        <w:t>Each form must be completed at one of the following levels:</w:t>
      </w:r>
    </w:p>
    <w:p w:rsidR="00584B6B" w:rsidRPr="00357F13" w:rsidRDefault="00584B6B" w:rsidP="00732D1B">
      <w:pPr>
        <w:numPr>
          <w:ilvl w:val="0"/>
          <w:numId w:val="7"/>
        </w:numPr>
        <w:tabs>
          <w:tab w:val="clear" w:pos="1135"/>
          <w:tab w:val="left" w:pos="1134"/>
        </w:tabs>
        <w:ind w:left="1134" w:firstLine="0"/>
      </w:pPr>
      <w:r w:rsidRPr="00357F13">
        <w:t>All reporting years of account combined (whole account) for the calendar year</w:t>
      </w:r>
    </w:p>
    <w:p w:rsidR="00714597" w:rsidRPr="00357F13" w:rsidRDefault="00714597" w:rsidP="00732D1B">
      <w:pPr>
        <w:numPr>
          <w:ilvl w:val="0"/>
          <w:numId w:val="7"/>
        </w:numPr>
        <w:tabs>
          <w:tab w:val="clear" w:pos="1135"/>
          <w:tab w:val="left" w:pos="1134"/>
        </w:tabs>
        <w:ind w:left="1134" w:firstLine="0"/>
      </w:pPr>
      <w:r w:rsidRPr="00357F13">
        <w:t>Reporting year of account</w:t>
      </w:r>
    </w:p>
    <w:p w:rsidR="00714597" w:rsidRPr="00357F13" w:rsidRDefault="00714597" w:rsidP="00732D1B">
      <w:pPr>
        <w:numPr>
          <w:ilvl w:val="0"/>
          <w:numId w:val="7"/>
        </w:numPr>
        <w:tabs>
          <w:tab w:val="clear" w:pos="1135"/>
          <w:tab w:val="left" w:pos="1134"/>
        </w:tabs>
        <w:ind w:left="1134" w:firstLine="0"/>
      </w:pPr>
      <w:r w:rsidRPr="00357F13">
        <w:t>Pure year of account</w:t>
      </w:r>
      <w:r w:rsidR="00584B6B" w:rsidRPr="00357F13">
        <w:t xml:space="preserve"> </w:t>
      </w:r>
    </w:p>
    <w:p w:rsidR="00AB529F" w:rsidRPr="00357F13" w:rsidRDefault="00AB529F" w:rsidP="008E26AA">
      <w:pPr>
        <w:tabs>
          <w:tab w:val="num" w:pos="851"/>
          <w:tab w:val="left" w:pos="1134"/>
        </w:tabs>
        <w:ind w:left="851" w:hanging="851"/>
      </w:pPr>
    </w:p>
    <w:p w:rsidR="00773811" w:rsidRPr="00357F13" w:rsidRDefault="00584B6B" w:rsidP="00C35CD8">
      <w:pPr>
        <w:pStyle w:val="Heading3"/>
        <w:tabs>
          <w:tab w:val="clear" w:pos="851"/>
          <w:tab w:val="clear" w:pos="1288"/>
          <w:tab w:val="left" w:pos="1134"/>
          <w:tab w:val="left" w:pos="1170"/>
          <w:tab w:val="num" w:pos="1276"/>
        </w:tabs>
        <w:ind w:left="1134" w:hanging="1134"/>
      </w:pPr>
      <w:r w:rsidRPr="00357F13">
        <w:rPr>
          <w:b/>
        </w:rPr>
        <w:t xml:space="preserve">All reporting years combined </w:t>
      </w:r>
      <w:r w:rsidRPr="00357F13">
        <w:t xml:space="preserve">means </w:t>
      </w:r>
      <w:r w:rsidR="00B71E4F" w:rsidRPr="00357F13">
        <w:t>all</w:t>
      </w:r>
      <w:r w:rsidRPr="00357F13">
        <w:t xml:space="preserve"> the transactions or assets as appropriate for the syndicate as a whole during the calendar year in question.</w:t>
      </w:r>
    </w:p>
    <w:p w:rsidR="00773811" w:rsidRPr="00357F13" w:rsidRDefault="00773811">
      <w:pPr>
        <w:rPr>
          <w:color w:val="000000"/>
          <w:szCs w:val="22"/>
        </w:rPr>
      </w:pPr>
      <w:r w:rsidRPr="00357F13">
        <w:br w:type="page"/>
      </w:r>
    </w:p>
    <w:p w:rsidR="00584B6B" w:rsidRPr="00357F13" w:rsidRDefault="00584B6B" w:rsidP="00235165">
      <w:pPr>
        <w:pStyle w:val="Heading3"/>
        <w:numPr>
          <w:ilvl w:val="0"/>
          <w:numId w:val="0"/>
        </w:numPr>
        <w:tabs>
          <w:tab w:val="clear" w:pos="851"/>
          <w:tab w:val="left" w:pos="1134"/>
          <w:tab w:val="left" w:pos="1170"/>
        </w:tabs>
      </w:pPr>
    </w:p>
    <w:p w:rsidR="009F2E64" w:rsidRPr="00357F13" w:rsidRDefault="00C226B7" w:rsidP="00C35CD8">
      <w:pPr>
        <w:pStyle w:val="Heading3"/>
        <w:tabs>
          <w:tab w:val="clear" w:pos="851"/>
          <w:tab w:val="clear" w:pos="1288"/>
          <w:tab w:val="left" w:pos="1134"/>
          <w:tab w:val="left" w:pos="1170"/>
          <w:tab w:val="num" w:pos="1276"/>
        </w:tabs>
        <w:ind w:left="1134" w:hanging="1134"/>
        <w:rPr>
          <w:color w:val="auto"/>
        </w:rPr>
      </w:pPr>
      <w:r w:rsidRPr="00357F13">
        <w:rPr>
          <w:b/>
          <w:color w:val="auto"/>
        </w:rPr>
        <w:t>Reporting</w:t>
      </w:r>
      <w:r w:rsidR="009F2E64" w:rsidRPr="00357F13">
        <w:rPr>
          <w:b/>
          <w:color w:val="auto"/>
        </w:rPr>
        <w:t xml:space="preserve"> year of account</w:t>
      </w:r>
      <w:r w:rsidR="009F2E64" w:rsidRPr="00357F13">
        <w:rPr>
          <w:color w:val="auto"/>
        </w:rPr>
        <w:t xml:space="preserve"> is the ‘traditional’ Lloyd’s method of identifying years of account and means each year of account upon which members ha</w:t>
      </w:r>
      <w:r w:rsidR="00AB529F" w:rsidRPr="00357F13">
        <w:rPr>
          <w:color w:val="auto"/>
        </w:rPr>
        <w:t>ve</w:t>
      </w:r>
      <w:r w:rsidR="009F2E64" w:rsidRPr="00357F13">
        <w:rPr>
          <w:color w:val="auto"/>
        </w:rPr>
        <w:t xml:space="preserve"> a participation during </w:t>
      </w:r>
      <w:r w:rsidR="00584B6B" w:rsidRPr="00357F13">
        <w:rPr>
          <w:color w:val="auto"/>
        </w:rPr>
        <w:t xml:space="preserve">a given calendar year. So, for the calendar year </w:t>
      </w:r>
      <w:r w:rsidR="002779CA" w:rsidRPr="00357F13">
        <w:rPr>
          <w:color w:val="auto"/>
        </w:rPr>
        <w:t>20</w:t>
      </w:r>
      <w:r w:rsidR="00B71E4F" w:rsidRPr="00357F13">
        <w:rPr>
          <w:color w:val="auto"/>
        </w:rPr>
        <w:t>20</w:t>
      </w:r>
      <w:r w:rsidR="00584B6B" w:rsidRPr="00357F13">
        <w:rPr>
          <w:color w:val="auto"/>
        </w:rPr>
        <w:t xml:space="preserve"> this will </w:t>
      </w:r>
      <w:r w:rsidR="002407AE" w:rsidRPr="00357F13">
        <w:rPr>
          <w:color w:val="auto"/>
        </w:rPr>
        <w:t>include</w:t>
      </w:r>
      <w:r w:rsidR="009F2E64" w:rsidRPr="00357F13">
        <w:rPr>
          <w:color w:val="auto"/>
        </w:rPr>
        <w:t xml:space="preserve"> the </w:t>
      </w:r>
      <w:r w:rsidR="002779CA" w:rsidRPr="00357F13">
        <w:rPr>
          <w:color w:val="auto"/>
        </w:rPr>
        <w:t>201</w:t>
      </w:r>
      <w:r w:rsidR="00B71E4F" w:rsidRPr="00357F13">
        <w:rPr>
          <w:color w:val="auto"/>
        </w:rPr>
        <w:t>9</w:t>
      </w:r>
      <w:r w:rsidR="00A43071" w:rsidRPr="00357F13">
        <w:rPr>
          <w:color w:val="auto"/>
        </w:rPr>
        <w:t xml:space="preserve">, </w:t>
      </w:r>
      <w:r w:rsidR="002779CA" w:rsidRPr="00357F13">
        <w:rPr>
          <w:color w:val="auto"/>
        </w:rPr>
        <w:t>201</w:t>
      </w:r>
      <w:r w:rsidR="00B71E4F" w:rsidRPr="00357F13">
        <w:rPr>
          <w:color w:val="auto"/>
        </w:rPr>
        <w:t>8</w:t>
      </w:r>
      <w:r w:rsidR="00A43071" w:rsidRPr="00357F13">
        <w:rPr>
          <w:color w:val="auto"/>
        </w:rPr>
        <w:t xml:space="preserve"> and</w:t>
      </w:r>
      <w:r w:rsidR="00C22459" w:rsidRPr="00357F13">
        <w:rPr>
          <w:color w:val="auto"/>
        </w:rPr>
        <w:t xml:space="preserve"> </w:t>
      </w:r>
      <w:r w:rsidR="002779CA" w:rsidRPr="00357F13">
        <w:rPr>
          <w:color w:val="auto"/>
        </w:rPr>
        <w:t>201</w:t>
      </w:r>
      <w:r w:rsidR="00B71E4F" w:rsidRPr="00357F13">
        <w:rPr>
          <w:color w:val="auto"/>
        </w:rPr>
        <w:t>7</w:t>
      </w:r>
      <w:r w:rsidR="00C22459" w:rsidRPr="00357F13">
        <w:rPr>
          <w:color w:val="auto"/>
        </w:rPr>
        <w:t xml:space="preserve"> </w:t>
      </w:r>
      <w:r w:rsidR="009F2E64" w:rsidRPr="00357F13">
        <w:rPr>
          <w:color w:val="auto"/>
        </w:rPr>
        <w:t xml:space="preserve">years of account </w:t>
      </w:r>
      <w:r w:rsidR="00B71E4F" w:rsidRPr="00357F13">
        <w:rPr>
          <w:color w:val="auto"/>
        </w:rPr>
        <w:t>and</w:t>
      </w:r>
      <w:r w:rsidR="009F2E64" w:rsidRPr="00357F13">
        <w:rPr>
          <w:color w:val="auto"/>
        </w:rPr>
        <w:t xml:space="preserve"> various </w:t>
      </w:r>
      <w:r w:rsidR="002779CA" w:rsidRPr="00357F13">
        <w:rPr>
          <w:color w:val="auto"/>
        </w:rPr>
        <w:t>201</w:t>
      </w:r>
      <w:r w:rsidR="00B71E4F" w:rsidRPr="00357F13">
        <w:rPr>
          <w:color w:val="auto"/>
        </w:rPr>
        <w:t>6</w:t>
      </w:r>
      <w:r w:rsidR="006B4298" w:rsidRPr="00357F13">
        <w:rPr>
          <w:color w:val="auto"/>
        </w:rPr>
        <w:t xml:space="preserve"> </w:t>
      </w:r>
      <w:r w:rsidR="009F2E64" w:rsidRPr="00357F13">
        <w:rPr>
          <w:color w:val="auto"/>
        </w:rPr>
        <w:t>and prior run-off years of account which ha</w:t>
      </w:r>
      <w:r w:rsidR="00584B6B" w:rsidRPr="00357F13">
        <w:rPr>
          <w:color w:val="auto"/>
        </w:rPr>
        <w:t xml:space="preserve">ve </w:t>
      </w:r>
      <w:r w:rsidR="00AD4A19" w:rsidRPr="00357F13">
        <w:rPr>
          <w:color w:val="auto"/>
        </w:rPr>
        <w:t>not been reinsured to c</w:t>
      </w:r>
      <w:r w:rsidR="009F2E64" w:rsidRPr="00357F13">
        <w:rPr>
          <w:color w:val="auto"/>
        </w:rPr>
        <w:t>lose. When reporting on the transactions for a</w:t>
      </w:r>
      <w:r w:rsidR="00D63297" w:rsidRPr="00357F13">
        <w:rPr>
          <w:color w:val="auto"/>
        </w:rPr>
        <w:t xml:space="preserve"> reporting</w:t>
      </w:r>
      <w:r w:rsidR="009F2E64" w:rsidRPr="00357F13">
        <w:rPr>
          <w:color w:val="auto"/>
        </w:rPr>
        <w:t xml:space="preserve"> </w:t>
      </w:r>
      <w:r w:rsidR="00C401D8" w:rsidRPr="00357F13">
        <w:rPr>
          <w:color w:val="auto"/>
        </w:rPr>
        <w:t xml:space="preserve">year </w:t>
      </w:r>
      <w:r w:rsidR="009F2E64" w:rsidRPr="00357F13">
        <w:rPr>
          <w:color w:val="auto"/>
        </w:rPr>
        <w:t xml:space="preserve">of account, it is necessary to include the movements on any earlier years of account previously closed into that </w:t>
      </w:r>
      <w:r w:rsidR="00D63297" w:rsidRPr="00357F13">
        <w:rPr>
          <w:color w:val="auto"/>
        </w:rPr>
        <w:t>reporting</w:t>
      </w:r>
      <w:r w:rsidR="009F2E64" w:rsidRPr="00357F13">
        <w:rPr>
          <w:color w:val="auto"/>
        </w:rPr>
        <w:t xml:space="preserve"> year of account. </w:t>
      </w:r>
    </w:p>
    <w:p w:rsidR="009F2E64" w:rsidRPr="00357F13" w:rsidRDefault="009F2E64" w:rsidP="00C35CD8">
      <w:pPr>
        <w:pStyle w:val="Heading3"/>
        <w:tabs>
          <w:tab w:val="clear" w:pos="851"/>
          <w:tab w:val="clear" w:pos="1288"/>
          <w:tab w:val="left" w:pos="1134"/>
          <w:tab w:val="left" w:pos="1170"/>
          <w:tab w:val="num" w:pos="1276"/>
        </w:tabs>
        <w:ind w:left="1134" w:hanging="1134"/>
      </w:pPr>
      <w:r w:rsidRPr="00357F13">
        <w:rPr>
          <w:b/>
        </w:rPr>
        <w:t>Pure year of account</w:t>
      </w:r>
      <w:r w:rsidRPr="00357F13">
        <w:t xml:space="preserve"> relates to the year of account in which the business was originally written and to which the original premiums and all subsequent transactions are </w:t>
      </w:r>
      <w:r w:rsidR="00D63297" w:rsidRPr="00357F13">
        <w:t>allocated</w:t>
      </w:r>
      <w:r w:rsidRPr="00357F13">
        <w:t>.  The pure year of account may still be open, or subsequently reinsured to close</w:t>
      </w:r>
      <w:r w:rsidR="00F96D21" w:rsidRPr="00357F13">
        <w:t xml:space="preserve"> into another </w:t>
      </w:r>
      <w:r w:rsidR="001E1714" w:rsidRPr="00357F13">
        <w:t xml:space="preserve">(reporting) </w:t>
      </w:r>
      <w:r w:rsidR="00F96D21" w:rsidRPr="00357F13">
        <w:t xml:space="preserve">year of account. </w:t>
      </w:r>
      <w:r w:rsidRPr="00357F13">
        <w:t>When reporting on the transactions for a pure year of account, only the transactions relating specifically to that pure year of account must be reported.</w:t>
      </w:r>
    </w:p>
    <w:p w:rsidR="00C226B7" w:rsidRPr="00357F13" w:rsidRDefault="0081264D" w:rsidP="00C35CD8">
      <w:pPr>
        <w:pStyle w:val="Heading3"/>
        <w:tabs>
          <w:tab w:val="clear" w:pos="851"/>
          <w:tab w:val="clear" w:pos="1288"/>
          <w:tab w:val="left" w:pos="1134"/>
          <w:tab w:val="left" w:pos="1170"/>
          <w:tab w:val="num" w:pos="1276"/>
        </w:tabs>
        <w:ind w:left="1134" w:hanging="1134"/>
      </w:pPr>
      <w:r w:rsidRPr="00357F13">
        <w:t>The</w:t>
      </w:r>
      <w:r w:rsidR="00E02B5C" w:rsidRPr="00357F13">
        <w:t>se</w:t>
      </w:r>
      <w:r w:rsidRPr="00357F13">
        <w:t xml:space="preserve"> </w:t>
      </w:r>
      <w:r w:rsidR="00E438A2" w:rsidRPr="00357F13">
        <w:t xml:space="preserve">instructions state whether the form is required </w:t>
      </w:r>
      <w:r w:rsidR="00C226B7" w:rsidRPr="00357F13">
        <w:t>at whole account, reporting year or pure year level.</w:t>
      </w:r>
      <w:r w:rsidR="00E438A2" w:rsidRPr="00357F13">
        <w:t xml:space="preserve"> </w:t>
      </w:r>
    </w:p>
    <w:p w:rsidR="004C6224" w:rsidRPr="00357F13" w:rsidRDefault="005771EA" w:rsidP="000C2C36">
      <w:pPr>
        <w:pStyle w:val="Heading2"/>
        <w:tabs>
          <w:tab w:val="num" w:pos="1134"/>
        </w:tabs>
        <w:ind w:left="0" w:firstLine="0"/>
        <w:rPr>
          <w:sz w:val="24"/>
          <w:szCs w:val="24"/>
        </w:rPr>
      </w:pPr>
      <w:bookmarkStart w:id="10" w:name="_Ref95721716"/>
      <w:r w:rsidRPr="00357F13">
        <w:t xml:space="preserve">       </w:t>
      </w:r>
      <w:r w:rsidR="00061345" w:rsidRPr="00357F13">
        <w:tab/>
      </w:r>
      <w:r w:rsidR="00A1440B" w:rsidRPr="00357F13">
        <w:rPr>
          <w:sz w:val="24"/>
          <w:szCs w:val="24"/>
        </w:rPr>
        <w:t>Currencies and e</w:t>
      </w:r>
      <w:r w:rsidR="00C759DA" w:rsidRPr="00357F13">
        <w:rPr>
          <w:sz w:val="24"/>
          <w:szCs w:val="24"/>
        </w:rPr>
        <w:t>xchange rates</w:t>
      </w:r>
      <w:bookmarkEnd w:id="10"/>
    </w:p>
    <w:p w:rsidR="00A1440B" w:rsidRPr="00357F13" w:rsidRDefault="004B3255" w:rsidP="00C35CD8">
      <w:pPr>
        <w:pStyle w:val="Heading3"/>
        <w:tabs>
          <w:tab w:val="clear" w:pos="851"/>
          <w:tab w:val="clear" w:pos="1288"/>
          <w:tab w:val="left" w:pos="1134"/>
          <w:tab w:val="left" w:pos="1170"/>
          <w:tab w:val="num" w:pos="1276"/>
        </w:tabs>
        <w:ind w:left="1134" w:hanging="1134"/>
      </w:pPr>
      <w:r w:rsidRPr="00357F13">
        <w:t>The</w:t>
      </w:r>
      <w:r w:rsidR="00BB1C21" w:rsidRPr="00357F13">
        <w:t xml:space="preserve"> SBF</w:t>
      </w:r>
      <w:r w:rsidR="00D14AC6" w:rsidRPr="00357F13">
        <w:t>0</w:t>
      </w:r>
      <w:r w:rsidR="00BB1C21" w:rsidRPr="00357F13">
        <w:t>51 form</w:t>
      </w:r>
      <w:r w:rsidRPr="00357F13">
        <w:t xml:space="preserve"> must be completed in</w:t>
      </w:r>
      <w:r w:rsidR="00A1440B" w:rsidRPr="00357F13">
        <w:t xml:space="preserve"> the following currencies:</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367"/>
        <w:gridCol w:w="7371"/>
      </w:tblGrid>
      <w:tr w:rsidR="002B1C38" w:rsidRPr="00357F13" w:rsidTr="00235165">
        <w:tc>
          <w:tcPr>
            <w:tcW w:w="767"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USD</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US Dollars in Dollar</w:t>
            </w:r>
          </w:p>
        </w:tc>
      </w:tr>
      <w:tr w:rsidR="002B1C38" w:rsidRPr="00357F13" w:rsidTr="00235165">
        <w:tc>
          <w:tcPr>
            <w:tcW w:w="767"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GBP</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 xml:space="preserve">British Pounds in Sterling </w:t>
            </w:r>
            <w:r w:rsidRPr="00357F13">
              <w:rPr>
                <w:b/>
                <w:color w:val="auto"/>
                <w:u w:val="single"/>
              </w:rPr>
              <w:t>only</w:t>
            </w:r>
          </w:p>
        </w:tc>
      </w:tr>
      <w:tr w:rsidR="002B1C38" w:rsidRPr="00357F13" w:rsidTr="00235165">
        <w:tc>
          <w:tcPr>
            <w:tcW w:w="767"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CAD</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Canadian Dollar in Canadian Dollar</w:t>
            </w:r>
          </w:p>
        </w:tc>
      </w:tr>
      <w:tr w:rsidR="002B1C38" w:rsidRPr="00357F13" w:rsidTr="00235165">
        <w:tc>
          <w:tcPr>
            <w:tcW w:w="767"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EUR</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Euro in Euro</w:t>
            </w:r>
          </w:p>
        </w:tc>
      </w:tr>
      <w:tr w:rsidR="002B1C38" w:rsidRPr="00357F13" w:rsidTr="00235165">
        <w:tc>
          <w:tcPr>
            <w:tcW w:w="767"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rPr>
                <w:color w:val="auto"/>
              </w:rPr>
              <w:t>AUD</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pPr>
              <w:pStyle w:val="Heading3"/>
              <w:numPr>
                <w:ilvl w:val="0"/>
                <w:numId w:val="0"/>
              </w:numPr>
              <w:tabs>
                <w:tab w:val="clear" w:pos="851"/>
                <w:tab w:val="left" w:pos="1134"/>
                <w:tab w:val="left" w:pos="1985"/>
              </w:tabs>
              <w:spacing w:after="0"/>
              <w:rPr>
                <w:color w:val="auto"/>
              </w:rPr>
            </w:pPr>
            <w:r w:rsidRPr="00357F13">
              <w:t>Australian Dollar in Australian Dollar</w:t>
            </w:r>
          </w:p>
        </w:tc>
      </w:tr>
      <w:tr w:rsidR="002B1C38" w:rsidRPr="00357F13" w:rsidTr="00235165">
        <w:tc>
          <w:tcPr>
            <w:tcW w:w="767" w:type="dxa"/>
          </w:tcPr>
          <w:p w:rsidR="002B1C38" w:rsidRPr="00357F13" w:rsidRDefault="002B1C38" w:rsidP="002B1C38">
            <w:pPr>
              <w:pStyle w:val="Heading3"/>
              <w:numPr>
                <w:ilvl w:val="0"/>
                <w:numId w:val="0"/>
              </w:numPr>
              <w:tabs>
                <w:tab w:val="clear" w:pos="851"/>
                <w:tab w:val="left" w:pos="1134"/>
                <w:tab w:val="left" w:pos="1985"/>
              </w:tabs>
              <w:spacing w:after="0"/>
              <w:rPr>
                <w:color w:val="auto"/>
              </w:rPr>
            </w:pPr>
            <w:r w:rsidRPr="00357F13">
              <w:rPr>
                <w:color w:val="auto"/>
              </w:rPr>
              <w:t>Other</w:t>
            </w:r>
          </w:p>
        </w:tc>
        <w:tc>
          <w:tcPr>
            <w:tcW w:w="367" w:type="dxa"/>
          </w:tcPr>
          <w:p w:rsidR="002B1C38" w:rsidRPr="00357F13" w:rsidRDefault="002B1C38" w:rsidP="00235165">
            <w:pPr>
              <w:pStyle w:val="Heading3"/>
              <w:numPr>
                <w:ilvl w:val="0"/>
                <w:numId w:val="0"/>
              </w:numPr>
              <w:tabs>
                <w:tab w:val="clear" w:pos="851"/>
                <w:tab w:val="left" w:pos="1134"/>
                <w:tab w:val="left" w:pos="1985"/>
              </w:tabs>
              <w:spacing w:after="0"/>
              <w:jc w:val="center"/>
              <w:rPr>
                <w:color w:val="auto"/>
              </w:rPr>
            </w:pPr>
            <w:r w:rsidRPr="00357F13">
              <w:rPr>
                <w:color w:val="auto"/>
              </w:rPr>
              <w:t>-</w:t>
            </w:r>
          </w:p>
        </w:tc>
        <w:tc>
          <w:tcPr>
            <w:tcW w:w="7371" w:type="dxa"/>
          </w:tcPr>
          <w:p w:rsidR="002B1C38" w:rsidRPr="00357F13" w:rsidRDefault="002B1C38" w:rsidP="00235165">
            <w:pPr>
              <w:pStyle w:val="Heading3"/>
              <w:numPr>
                <w:ilvl w:val="0"/>
                <w:numId w:val="0"/>
              </w:numPr>
              <w:tabs>
                <w:tab w:val="clear" w:pos="851"/>
                <w:tab w:val="left" w:pos="1985"/>
                <w:tab w:val="left" w:pos="2268"/>
              </w:tabs>
              <w:spacing w:after="0"/>
              <w:rPr>
                <w:color w:val="auto"/>
              </w:rPr>
            </w:pPr>
            <w:r w:rsidRPr="00357F13">
              <w:rPr>
                <w:color w:val="auto"/>
              </w:rPr>
              <w:t>All other currencies excluding USD, CAD, GBP sterling, AUD and EUR                 to be submitted in GBP.</w:t>
            </w:r>
          </w:p>
        </w:tc>
      </w:tr>
    </w:tbl>
    <w:p w:rsidR="00A1440B" w:rsidRPr="00357F13" w:rsidRDefault="00A1440B" w:rsidP="00235165">
      <w:pPr>
        <w:pStyle w:val="Heading3"/>
        <w:numPr>
          <w:ilvl w:val="0"/>
          <w:numId w:val="0"/>
        </w:numPr>
        <w:tabs>
          <w:tab w:val="clear" w:pos="851"/>
          <w:tab w:val="left" w:pos="1134"/>
        </w:tabs>
        <w:spacing w:after="0"/>
      </w:pPr>
    </w:p>
    <w:p w:rsidR="00211A19" w:rsidRPr="00357F13" w:rsidRDefault="004B3255" w:rsidP="00211A19">
      <w:pPr>
        <w:pStyle w:val="Heading3"/>
        <w:numPr>
          <w:ilvl w:val="0"/>
          <w:numId w:val="0"/>
        </w:numPr>
        <w:tabs>
          <w:tab w:val="clear" w:pos="851"/>
          <w:tab w:val="left" w:pos="1134"/>
        </w:tabs>
        <w:ind w:left="1134"/>
      </w:pPr>
      <w:r w:rsidRPr="00357F13">
        <w:t>S</w:t>
      </w:r>
      <w:r w:rsidR="00CA2F28" w:rsidRPr="00357F13">
        <w:t>ome forms only require</w:t>
      </w:r>
      <w:r w:rsidR="006C1BBC" w:rsidRPr="00357F13">
        <w:t xml:space="preserve"> </w:t>
      </w:r>
      <w:r w:rsidR="007C0755" w:rsidRPr="00357F13">
        <w:t>CNV (</w:t>
      </w:r>
      <w:r w:rsidR="006326B3" w:rsidRPr="00357F13">
        <w:t>Converted</w:t>
      </w:r>
      <w:r w:rsidR="007C0755" w:rsidRPr="00357F13">
        <w:t>)</w:t>
      </w:r>
      <w:r w:rsidR="006C1BBC" w:rsidRPr="00357F13">
        <w:t xml:space="preserve"> or fewer currencies.</w:t>
      </w:r>
    </w:p>
    <w:p w:rsidR="00861DEB" w:rsidRPr="00357F13" w:rsidRDefault="00413569" w:rsidP="00C35CD8">
      <w:pPr>
        <w:pStyle w:val="Heading3"/>
        <w:tabs>
          <w:tab w:val="clear" w:pos="851"/>
          <w:tab w:val="clear" w:pos="1288"/>
          <w:tab w:val="left" w:pos="1170"/>
          <w:tab w:val="num" w:pos="1276"/>
        </w:tabs>
        <w:spacing w:after="0"/>
        <w:ind w:left="1134" w:hanging="1134"/>
      </w:pPr>
      <w:r w:rsidRPr="00357F13">
        <w:rPr>
          <w:color w:val="auto"/>
        </w:rPr>
        <w:t xml:space="preserve">See </w:t>
      </w:r>
      <w:r w:rsidR="00123E34" w:rsidRPr="00357F13">
        <w:t>Section 4 below for more information on exchange rates, but th</w:t>
      </w:r>
      <w:r w:rsidR="002F336A" w:rsidRPr="00357F13">
        <w:t>e following rules</w:t>
      </w:r>
      <w:r w:rsidR="005A754A" w:rsidRPr="00357F13">
        <w:t xml:space="preserve"> should be noted</w:t>
      </w:r>
      <w:r w:rsidR="002F336A" w:rsidRPr="00357F13">
        <w:t>:</w:t>
      </w:r>
    </w:p>
    <w:p w:rsidR="00911DE6" w:rsidRPr="00357F13" w:rsidRDefault="00911DE6" w:rsidP="00911DE6">
      <w:pPr>
        <w:pStyle w:val="Heading3"/>
        <w:numPr>
          <w:ilvl w:val="0"/>
          <w:numId w:val="0"/>
        </w:numPr>
        <w:tabs>
          <w:tab w:val="clear" w:pos="851"/>
          <w:tab w:val="left" w:pos="1170"/>
        </w:tabs>
        <w:spacing w:after="0"/>
        <w:ind w:left="1146"/>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1843"/>
        <w:gridCol w:w="1418"/>
        <w:gridCol w:w="1270"/>
      </w:tblGrid>
      <w:tr w:rsidR="00B71E4F" w:rsidRPr="00357F13" w:rsidTr="00235165">
        <w:trPr>
          <w:trHeight w:val="69"/>
        </w:trPr>
        <w:tc>
          <w:tcPr>
            <w:tcW w:w="2410" w:type="dxa"/>
            <w:shd w:val="clear" w:color="auto" w:fill="auto"/>
            <w:vAlign w:val="center"/>
          </w:tcPr>
          <w:p w:rsidR="002F336A" w:rsidRPr="00357F13" w:rsidRDefault="002F336A" w:rsidP="00235165">
            <w:pPr>
              <w:jc w:val="center"/>
              <w:rPr>
                <w:sz w:val="20"/>
              </w:rPr>
            </w:pPr>
            <w:bookmarkStart w:id="11" w:name="_Toc415217767"/>
            <w:bookmarkStart w:id="12" w:name="_Toc416685726"/>
            <w:bookmarkStart w:id="13" w:name="_Toc452126153"/>
            <w:bookmarkStart w:id="14" w:name="Eva_FX_deadlines"/>
            <w:bookmarkStart w:id="15" w:name="_Toc95271062"/>
            <w:bookmarkStart w:id="16" w:name="_Toc264275397"/>
            <w:r w:rsidRPr="00357F13">
              <w:rPr>
                <w:b/>
                <w:sz w:val="20"/>
              </w:rPr>
              <w:t>Deadlines</w:t>
            </w:r>
            <w:bookmarkEnd w:id="11"/>
            <w:bookmarkEnd w:id="12"/>
            <w:bookmarkEnd w:id="13"/>
          </w:p>
        </w:tc>
        <w:tc>
          <w:tcPr>
            <w:tcW w:w="1559" w:type="dxa"/>
            <w:shd w:val="clear" w:color="auto" w:fill="auto"/>
            <w:vAlign w:val="center"/>
          </w:tcPr>
          <w:p w:rsidR="002F336A" w:rsidRPr="00357F13" w:rsidRDefault="002F336A" w:rsidP="00235165">
            <w:pPr>
              <w:jc w:val="center"/>
              <w:rPr>
                <w:sz w:val="20"/>
              </w:rPr>
            </w:pPr>
            <w:bookmarkStart w:id="17" w:name="_Toc415217768"/>
            <w:bookmarkStart w:id="18" w:name="_Toc416685727"/>
            <w:bookmarkStart w:id="19" w:name="_Toc452126154"/>
            <w:r w:rsidRPr="00357F13">
              <w:rPr>
                <w:b/>
                <w:sz w:val="20"/>
              </w:rPr>
              <w:t>Exchange rates</w:t>
            </w:r>
            <w:bookmarkEnd w:id="17"/>
            <w:bookmarkEnd w:id="18"/>
            <w:bookmarkEnd w:id="19"/>
          </w:p>
        </w:tc>
        <w:tc>
          <w:tcPr>
            <w:tcW w:w="1843" w:type="dxa"/>
            <w:shd w:val="clear" w:color="auto" w:fill="auto"/>
            <w:vAlign w:val="center"/>
          </w:tcPr>
          <w:p w:rsidR="002F336A" w:rsidRPr="00357F13" w:rsidRDefault="002F336A" w:rsidP="00235165">
            <w:pPr>
              <w:jc w:val="center"/>
              <w:rPr>
                <w:sz w:val="20"/>
              </w:rPr>
            </w:pPr>
            <w:bookmarkStart w:id="20" w:name="_Toc415217769"/>
            <w:bookmarkStart w:id="21" w:name="_Toc416685728"/>
            <w:bookmarkStart w:id="22" w:name="_Toc452126155"/>
            <w:r w:rsidRPr="00357F13">
              <w:rPr>
                <w:b/>
                <w:sz w:val="20"/>
              </w:rPr>
              <w:t>Definition</w:t>
            </w:r>
            <w:bookmarkEnd w:id="20"/>
            <w:bookmarkEnd w:id="21"/>
            <w:bookmarkEnd w:id="22"/>
          </w:p>
        </w:tc>
        <w:tc>
          <w:tcPr>
            <w:tcW w:w="1418" w:type="dxa"/>
            <w:shd w:val="clear" w:color="auto" w:fill="auto"/>
            <w:vAlign w:val="center"/>
          </w:tcPr>
          <w:p w:rsidR="002F336A" w:rsidRPr="00357F13" w:rsidRDefault="00FF79A1" w:rsidP="00235165">
            <w:pPr>
              <w:jc w:val="center"/>
              <w:rPr>
                <w:sz w:val="20"/>
              </w:rPr>
            </w:pPr>
            <w:bookmarkStart w:id="23" w:name="_Toc415217770"/>
            <w:bookmarkStart w:id="24" w:name="_Toc416685729"/>
            <w:bookmarkStart w:id="25" w:name="_Toc452126156"/>
            <w:r w:rsidRPr="00357F13">
              <w:rPr>
                <w:b/>
                <w:sz w:val="20"/>
              </w:rPr>
              <w:t xml:space="preserve">Available on </w:t>
            </w:r>
            <w:r w:rsidR="002711B0" w:rsidRPr="00357F13">
              <w:rPr>
                <w:b/>
                <w:sz w:val="20"/>
              </w:rPr>
              <w:t>MDC</w:t>
            </w:r>
            <w:bookmarkEnd w:id="23"/>
            <w:bookmarkEnd w:id="24"/>
            <w:bookmarkEnd w:id="25"/>
          </w:p>
        </w:tc>
        <w:tc>
          <w:tcPr>
            <w:tcW w:w="1270" w:type="dxa"/>
            <w:shd w:val="clear" w:color="auto" w:fill="auto"/>
            <w:vAlign w:val="center"/>
          </w:tcPr>
          <w:p w:rsidR="002F336A" w:rsidRPr="00357F13" w:rsidRDefault="002F336A" w:rsidP="00235165">
            <w:pPr>
              <w:jc w:val="center"/>
              <w:rPr>
                <w:sz w:val="20"/>
              </w:rPr>
            </w:pPr>
            <w:bookmarkStart w:id="26" w:name="_Toc415217771"/>
            <w:bookmarkStart w:id="27" w:name="_Toc416685730"/>
            <w:bookmarkStart w:id="28" w:name="_Toc452126157"/>
            <w:r w:rsidRPr="00357F13">
              <w:rPr>
                <w:b/>
                <w:sz w:val="20"/>
              </w:rPr>
              <w:t>Lloyd’s returns</w:t>
            </w:r>
            <w:bookmarkEnd w:id="26"/>
            <w:bookmarkEnd w:id="27"/>
            <w:bookmarkEnd w:id="28"/>
          </w:p>
        </w:tc>
      </w:tr>
      <w:tr w:rsidR="00B71E4F" w:rsidRPr="00357F13" w:rsidTr="00235165">
        <w:tc>
          <w:tcPr>
            <w:tcW w:w="2410" w:type="dxa"/>
            <w:shd w:val="clear" w:color="auto" w:fill="auto"/>
            <w:vAlign w:val="center"/>
          </w:tcPr>
          <w:p w:rsidR="00B71E4F" w:rsidRPr="00357F13" w:rsidRDefault="00B71E4F" w:rsidP="00235165">
            <w:pPr>
              <w:rPr>
                <w:sz w:val="20"/>
              </w:rPr>
            </w:pPr>
            <w:bookmarkStart w:id="29" w:name="_Toc415217778"/>
            <w:bookmarkStart w:id="30" w:name="_Toc416685737"/>
            <w:bookmarkStart w:id="31" w:name="_Toc452126158"/>
            <w:r w:rsidRPr="00357F13">
              <w:rPr>
                <w:sz w:val="20"/>
              </w:rPr>
              <w:t xml:space="preserve">02 September 2019/ </w:t>
            </w:r>
          </w:p>
          <w:p w:rsidR="00B71E4F" w:rsidRPr="00357F13" w:rsidRDefault="00B71E4F" w:rsidP="00235165">
            <w:pPr>
              <w:rPr>
                <w:sz w:val="20"/>
              </w:rPr>
            </w:pPr>
            <w:r w:rsidRPr="00357F13">
              <w:rPr>
                <w:sz w:val="20"/>
              </w:rPr>
              <w:t xml:space="preserve">09 September 2019/ </w:t>
            </w:r>
          </w:p>
          <w:p w:rsidR="00B71E4F" w:rsidRPr="00357F13" w:rsidRDefault="00B71E4F" w:rsidP="00235165">
            <w:pPr>
              <w:rPr>
                <w:sz w:val="20"/>
              </w:rPr>
            </w:pPr>
            <w:r w:rsidRPr="00357F13">
              <w:rPr>
                <w:sz w:val="20"/>
              </w:rPr>
              <w:t xml:space="preserve">16 September 2019/ </w:t>
            </w:r>
          </w:p>
          <w:p w:rsidR="00B71E4F" w:rsidRPr="00357F13" w:rsidRDefault="00B71E4F" w:rsidP="00235165">
            <w:pPr>
              <w:rPr>
                <w:sz w:val="20"/>
              </w:rPr>
            </w:pPr>
            <w:r w:rsidRPr="00357F13">
              <w:rPr>
                <w:sz w:val="20"/>
              </w:rPr>
              <w:t xml:space="preserve">23 September 2019/ </w:t>
            </w:r>
          </w:p>
          <w:p w:rsidR="002F336A" w:rsidRPr="00357F13" w:rsidRDefault="00B71E4F" w:rsidP="00235165">
            <w:pPr>
              <w:rPr>
                <w:b/>
                <w:sz w:val="20"/>
              </w:rPr>
            </w:pPr>
            <w:r w:rsidRPr="00357F13">
              <w:rPr>
                <w:sz w:val="20"/>
              </w:rPr>
              <w:t>30 September 2019</w:t>
            </w:r>
            <w:bookmarkEnd w:id="29"/>
            <w:bookmarkEnd w:id="30"/>
            <w:bookmarkEnd w:id="31"/>
          </w:p>
        </w:tc>
        <w:tc>
          <w:tcPr>
            <w:tcW w:w="1559" w:type="dxa"/>
            <w:shd w:val="clear" w:color="auto" w:fill="auto"/>
            <w:vAlign w:val="center"/>
          </w:tcPr>
          <w:p w:rsidR="002F336A" w:rsidRPr="00357F13" w:rsidRDefault="002F336A" w:rsidP="00B73A52">
            <w:pPr>
              <w:pStyle w:val="Heading1"/>
              <w:numPr>
                <w:ilvl w:val="0"/>
                <w:numId w:val="0"/>
              </w:numPr>
              <w:tabs>
                <w:tab w:val="left" w:pos="1134"/>
              </w:tabs>
              <w:spacing w:after="0"/>
              <w:jc w:val="center"/>
              <w:rPr>
                <w:b w:val="0"/>
                <w:sz w:val="20"/>
              </w:rPr>
            </w:pPr>
            <w:bookmarkStart w:id="32" w:name="_Toc415217779"/>
            <w:bookmarkStart w:id="33" w:name="_Toc416685738"/>
            <w:bookmarkStart w:id="34" w:name="_Toc452126159"/>
            <w:r w:rsidRPr="00357F13">
              <w:rPr>
                <w:b w:val="0"/>
                <w:sz w:val="20"/>
              </w:rPr>
              <w:t>Plan Rates</w:t>
            </w:r>
            <w:bookmarkEnd w:id="32"/>
            <w:bookmarkEnd w:id="33"/>
            <w:bookmarkEnd w:id="34"/>
          </w:p>
        </w:tc>
        <w:tc>
          <w:tcPr>
            <w:tcW w:w="1843" w:type="dxa"/>
            <w:shd w:val="clear" w:color="auto" w:fill="auto"/>
            <w:vAlign w:val="center"/>
          </w:tcPr>
          <w:p w:rsidR="00F8536C" w:rsidRPr="00357F13" w:rsidRDefault="00FE6EAC" w:rsidP="00B73A52">
            <w:pPr>
              <w:pStyle w:val="Heading1"/>
              <w:numPr>
                <w:ilvl w:val="0"/>
                <w:numId w:val="0"/>
              </w:numPr>
              <w:tabs>
                <w:tab w:val="left" w:pos="1134"/>
              </w:tabs>
              <w:spacing w:after="0"/>
              <w:jc w:val="center"/>
              <w:rPr>
                <w:b w:val="0"/>
                <w:color w:val="auto"/>
                <w:sz w:val="20"/>
              </w:rPr>
            </w:pPr>
            <w:bookmarkStart w:id="35" w:name="_Toc415217780"/>
            <w:bookmarkStart w:id="36" w:name="_Toc416685739"/>
            <w:bookmarkStart w:id="37" w:name="_Toc452126160"/>
            <w:r w:rsidRPr="00357F13">
              <w:rPr>
                <w:b w:val="0"/>
                <w:color w:val="auto"/>
                <w:sz w:val="20"/>
              </w:rPr>
              <w:t>As at</w:t>
            </w:r>
            <w:bookmarkEnd w:id="35"/>
            <w:bookmarkEnd w:id="36"/>
            <w:bookmarkEnd w:id="37"/>
          </w:p>
          <w:p w:rsidR="002F336A" w:rsidRPr="00357F13" w:rsidRDefault="00C370BF" w:rsidP="00B73A52">
            <w:pPr>
              <w:pStyle w:val="Heading1"/>
              <w:numPr>
                <w:ilvl w:val="0"/>
                <w:numId w:val="0"/>
              </w:numPr>
              <w:tabs>
                <w:tab w:val="left" w:pos="1134"/>
              </w:tabs>
              <w:spacing w:after="0"/>
              <w:jc w:val="center"/>
              <w:rPr>
                <w:b w:val="0"/>
                <w:color w:val="auto"/>
                <w:sz w:val="20"/>
              </w:rPr>
            </w:pPr>
            <w:bookmarkStart w:id="38" w:name="_Toc415217781"/>
            <w:bookmarkStart w:id="39" w:name="_Toc416685740"/>
            <w:bookmarkStart w:id="40" w:name="_Toc452126161"/>
            <w:r w:rsidRPr="00357F13">
              <w:rPr>
                <w:b w:val="0"/>
                <w:color w:val="auto"/>
                <w:sz w:val="20"/>
              </w:rPr>
              <w:t>End</w:t>
            </w:r>
            <w:r w:rsidR="00F8536C" w:rsidRPr="00357F13">
              <w:rPr>
                <w:b w:val="0"/>
                <w:color w:val="auto"/>
                <w:sz w:val="20"/>
              </w:rPr>
              <w:t xml:space="preserve"> of June </w:t>
            </w:r>
            <w:bookmarkEnd w:id="38"/>
            <w:bookmarkEnd w:id="39"/>
            <w:bookmarkEnd w:id="40"/>
            <w:r w:rsidR="002779CA" w:rsidRPr="00357F13">
              <w:rPr>
                <w:b w:val="0"/>
                <w:color w:val="auto"/>
                <w:sz w:val="20"/>
              </w:rPr>
              <w:t>201</w:t>
            </w:r>
            <w:r w:rsidR="002711B0" w:rsidRPr="00357F13">
              <w:rPr>
                <w:b w:val="0"/>
                <w:color w:val="auto"/>
                <w:sz w:val="20"/>
              </w:rPr>
              <w:t>9</w:t>
            </w:r>
          </w:p>
        </w:tc>
        <w:tc>
          <w:tcPr>
            <w:tcW w:w="1418" w:type="dxa"/>
            <w:shd w:val="clear" w:color="auto" w:fill="auto"/>
            <w:vAlign w:val="center"/>
          </w:tcPr>
          <w:p w:rsidR="002F336A" w:rsidRPr="00357F13" w:rsidRDefault="002711B0" w:rsidP="00DE0D69">
            <w:pPr>
              <w:pStyle w:val="Heading1"/>
              <w:numPr>
                <w:ilvl w:val="0"/>
                <w:numId w:val="0"/>
              </w:numPr>
              <w:tabs>
                <w:tab w:val="left" w:pos="1134"/>
              </w:tabs>
              <w:spacing w:after="0"/>
              <w:jc w:val="center"/>
              <w:rPr>
                <w:b w:val="0"/>
                <w:color w:val="auto"/>
                <w:sz w:val="20"/>
              </w:rPr>
            </w:pPr>
            <w:r w:rsidRPr="00357F13">
              <w:rPr>
                <w:b w:val="0"/>
                <w:color w:val="auto"/>
                <w:sz w:val="20"/>
              </w:rPr>
              <w:t>0</w:t>
            </w:r>
            <w:r w:rsidR="00E22D53" w:rsidRPr="00357F13">
              <w:rPr>
                <w:b w:val="0"/>
                <w:color w:val="auto"/>
                <w:sz w:val="20"/>
              </w:rPr>
              <w:t>5</w:t>
            </w:r>
            <w:r w:rsidRPr="00357F13">
              <w:rPr>
                <w:b w:val="0"/>
                <w:color w:val="auto"/>
                <w:sz w:val="20"/>
              </w:rPr>
              <w:t xml:space="preserve"> July </w:t>
            </w:r>
            <w:r w:rsidR="002779CA" w:rsidRPr="00357F13">
              <w:rPr>
                <w:b w:val="0"/>
                <w:color w:val="auto"/>
                <w:sz w:val="20"/>
              </w:rPr>
              <w:t>201</w:t>
            </w:r>
            <w:r w:rsidRPr="00357F13">
              <w:rPr>
                <w:b w:val="0"/>
                <w:color w:val="auto"/>
                <w:sz w:val="20"/>
              </w:rPr>
              <w:t>9</w:t>
            </w:r>
          </w:p>
        </w:tc>
        <w:tc>
          <w:tcPr>
            <w:tcW w:w="1270" w:type="dxa"/>
            <w:shd w:val="clear" w:color="auto" w:fill="auto"/>
            <w:vAlign w:val="center"/>
          </w:tcPr>
          <w:p w:rsidR="002F336A" w:rsidRPr="00357F13" w:rsidRDefault="00A85DB5" w:rsidP="00B73A52">
            <w:pPr>
              <w:pStyle w:val="Heading1"/>
              <w:numPr>
                <w:ilvl w:val="0"/>
                <w:numId w:val="0"/>
              </w:numPr>
              <w:tabs>
                <w:tab w:val="left" w:pos="1134"/>
              </w:tabs>
              <w:spacing w:after="0"/>
              <w:jc w:val="center"/>
              <w:rPr>
                <w:b w:val="0"/>
                <w:sz w:val="20"/>
              </w:rPr>
            </w:pPr>
            <w:bookmarkStart w:id="41" w:name="_Toc415217783"/>
            <w:bookmarkStart w:id="42" w:name="_Toc416685742"/>
            <w:bookmarkStart w:id="43" w:name="_Toc452126163"/>
            <w:r w:rsidRPr="00357F13">
              <w:rPr>
                <w:b w:val="0"/>
                <w:sz w:val="20"/>
              </w:rPr>
              <w:t>Final</w:t>
            </w:r>
            <w:bookmarkEnd w:id="41"/>
            <w:bookmarkEnd w:id="42"/>
            <w:bookmarkEnd w:id="43"/>
          </w:p>
        </w:tc>
      </w:tr>
      <w:bookmarkEnd w:id="14"/>
    </w:tbl>
    <w:p w:rsidR="00700A2A" w:rsidRPr="00357F13" w:rsidRDefault="00700A2A" w:rsidP="00882B13">
      <w:pPr>
        <w:pStyle w:val="Heading2"/>
        <w:numPr>
          <w:ilvl w:val="0"/>
          <w:numId w:val="0"/>
        </w:numPr>
        <w:tabs>
          <w:tab w:val="left" w:pos="1134"/>
        </w:tabs>
      </w:pPr>
    </w:p>
    <w:p w:rsidR="001A4950" w:rsidRPr="00357F13" w:rsidRDefault="00F95489" w:rsidP="00F95489">
      <w:pPr>
        <w:pStyle w:val="Heading2"/>
        <w:tabs>
          <w:tab w:val="num" w:pos="1134"/>
        </w:tabs>
        <w:ind w:left="0" w:firstLine="0"/>
        <w:rPr>
          <w:sz w:val="24"/>
          <w:szCs w:val="24"/>
        </w:rPr>
      </w:pPr>
      <w:r w:rsidRPr="00357F13">
        <w:t xml:space="preserve">       </w:t>
      </w:r>
      <w:r w:rsidR="00061345" w:rsidRPr="00357F13">
        <w:tab/>
      </w:r>
      <w:r w:rsidR="001A4950" w:rsidRPr="00357F13">
        <w:rPr>
          <w:sz w:val="24"/>
          <w:szCs w:val="24"/>
        </w:rPr>
        <w:t xml:space="preserve">QQS </w:t>
      </w:r>
      <w:r w:rsidR="00A837F4" w:rsidRPr="00357F13">
        <w:rPr>
          <w:sz w:val="24"/>
          <w:szCs w:val="24"/>
        </w:rPr>
        <w:t>clarification</w:t>
      </w:r>
    </w:p>
    <w:p w:rsidR="00911DE6" w:rsidRPr="00357F13" w:rsidRDefault="00A837F4" w:rsidP="00235165">
      <w:pPr>
        <w:ind w:left="1134"/>
      </w:pPr>
      <w:r w:rsidRPr="00357F13">
        <w:t>It should be noted that QQS arrangements are no longer considered a</w:t>
      </w:r>
      <w:r w:rsidR="001A4950" w:rsidRPr="00357F13">
        <w:t>s being acceptable forms of risk transfer.</w:t>
      </w:r>
      <w:r w:rsidRPr="00357F13">
        <w:t xml:space="preserve"> </w:t>
      </w:r>
    </w:p>
    <w:p w:rsidR="00773811" w:rsidRPr="00357F13" w:rsidRDefault="00773811">
      <w:r w:rsidRPr="00357F13">
        <w:br w:type="page"/>
      </w:r>
    </w:p>
    <w:p w:rsidR="00A837F4" w:rsidRPr="00357F13" w:rsidRDefault="00A837F4" w:rsidP="001A4950"/>
    <w:p w:rsidR="00CC42C9" w:rsidRPr="00357F13" w:rsidRDefault="00CC42C9" w:rsidP="00732D1B">
      <w:pPr>
        <w:pStyle w:val="Heading1"/>
        <w:tabs>
          <w:tab w:val="clear" w:pos="783"/>
          <w:tab w:val="left" w:pos="1134"/>
        </w:tabs>
        <w:ind w:left="1134" w:hanging="1134"/>
      </w:pPr>
      <w:bookmarkStart w:id="44" w:name="_Toc452126164"/>
      <w:r w:rsidRPr="00357F13">
        <w:t>SBF010 CONTROL PAGE</w:t>
      </w:r>
      <w:bookmarkEnd w:id="15"/>
      <w:bookmarkEnd w:id="16"/>
      <w:bookmarkEnd w:id="44"/>
    </w:p>
    <w:p w:rsidR="00911DE6" w:rsidRPr="00357F13" w:rsidRDefault="00911DE6" w:rsidP="00911DE6"/>
    <w:p w:rsidR="00CC42C9" w:rsidRPr="00357F13" w:rsidRDefault="005771EA" w:rsidP="000C2C36">
      <w:pPr>
        <w:pStyle w:val="Heading2"/>
        <w:tabs>
          <w:tab w:val="num" w:pos="1134"/>
        </w:tabs>
        <w:ind w:left="0" w:firstLine="0"/>
      </w:pPr>
      <w:bookmarkStart w:id="45" w:name="_Toc89825858"/>
      <w:bookmarkStart w:id="46" w:name="_Toc89826823"/>
      <w:r w:rsidRPr="00357F13">
        <w:t xml:space="preserve">      </w:t>
      </w:r>
      <w:r w:rsidR="000C2C36" w:rsidRPr="00357F13">
        <w:t xml:space="preserve"> </w:t>
      </w:r>
      <w:r w:rsidR="00061345" w:rsidRPr="00357F13">
        <w:tab/>
      </w:r>
      <w:r w:rsidR="00CC42C9" w:rsidRPr="00357F13">
        <w:rPr>
          <w:sz w:val="24"/>
          <w:szCs w:val="24"/>
        </w:rPr>
        <w:t>Summary</w:t>
      </w:r>
      <w:bookmarkEnd w:id="45"/>
      <w:bookmarkEnd w:id="46"/>
    </w:p>
    <w:p w:rsidR="00CC42C9" w:rsidRPr="00357F13" w:rsidRDefault="00CC42C9" w:rsidP="00D04F18">
      <w:pPr>
        <w:pStyle w:val="Heading3"/>
        <w:tabs>
          <w:tab w:val="clear" w:pos="851"/>
          <w:tab w:val="num" w:pos="1134"/>
        </w:tabs>
        <w:ind w:left="1134" w:hanging="1134"/>
      </w:pPr>
      <w:r w:rsidRPr="00357F13">
        <w:t>This is the set</w:t>
      </w:r>
      <w:r w:rsidR="006B4ADA" w:rsidRPr="00357F13">
        <w:t>-</w:t>
      </w:r>
      <w:r w:rsidRPr="00357F13">
        <w:t>up</w:t>
      </w:r>
      <w:r w:rsidR="004B3255" w:rsidRPr="00357F13">
        <w:t xml:space="preserve"> </w:t>
      </w:r>
      <w:r w:rsidR="006B4ADA" w:rsidRPr="00357F13">
        <w:t>form</w:t>
      </w:r>
      <w:r w:rsidR="00C57534" w:rsidRPr="00357F13">
        <w:t xml:space="preserve"> </w:t>
      </w:r>
      <w:r w:rsidR="00AA0D4D" w:rsidRPr="00357F13">
        <w:t>that</w:t>
      </w:r>
      <w:r w:rsidR="00C57534" w:rsidRPr="00357F13">
        <w:t xml:space="preserve"> acts as the control point for performing actions with the return</w:t>
      </w:r>
      <w:r w:rsidR="004B3255" w:rsidRPr="00357F13">
        <w:t>.</w:t>
      </w:r>
    </w:p>
    <w:p w:rsidR="00CC42C9" w:rsidRPr="00357F13" w:rsidRDefault="005771EA" w:rsidP="000C2C36">
      <w:pPr>
        <w:pStyle w:val="Heading2"/>
        <w:tabs>
          <w:tab w:val="num" w:pos="1134"/>
        </w:tabs>
        <w:ind w:left="0" w:firstLine="0"/>
      </w:pPr>
      <w:bookmarkStart w:id="47" w:name="_Toc89825859"/>
      <w:bookmarkStart w:id="48" w:name="_Toc89826824"/>
      <w:r w:rsidRPr="00357F13">
        <w:t xml:space="preserve">       </w:t>
      </w:r>
      <w:r w:rsidR="00061345" w:rsidRPr="00357F13">
        <w:tab/>
      </w:r>
      <w:r w:rsidR="00CC42C9" w:rsidRPr="00357F13">
        <w:rPr>
          <w:sz w:val="24"/>
          <w:szCs w:val="24"/>
        </w:rPr>
        <w:t>Key points</w:t>
      </w:r>
      <w:bookmarkEnd w:id="47"/>
      <w:bookmarkEnd w:id="48"/>
    </w:p>
    <w:p w:rsidR="00BE5A06" w:rsidRPr="00357F13" w:rsidRDefault="000325D0" w:rsidP="00D04F18">
      <w:pPr>
        <w:pStyle w:val="Heading3"/>
        <w:tabs>
          <w:tab w:val="clear" w:pos="851"/>
          <w:tab w:val="num" w:pos="1134"/>
        </w:tabs>
        <w:ind w:left="1134" w:hanging="1134"/>
      </w:pPr>
      <w:r w:rsidRPr="00357F13">
        <w:t>The option for m</w:t>
      </w:r>
      <w:r w:rsidR="00BE5A06" w:rsidRPr="00357F13">
        <w:t xml:space="preserve">anaging </w:t>
      </w:r>
      <w:r w:rsidRPr="00357F13">
        <w:t>a</w:t>
      </w:r>
      <w:r w:rsidR="00BE5A06" w:rsidRPr="00357F13">
        <w:t xml:space="preserve">gents to amend exchange rates on </w:t>
      </w:r>
      <w:r w:rsidR="00EC6A41" w:rsidRPr="00357F13">
        <w:t xml:space="preserve">the </w:t>
      </w:r>
      <w:r w:rsidR="00BE5A06" w:rsidRPr="00357F13">
        <w:t xml:space="preserve">current business plan has been removed. </w:t>
      </w:r>
    </w:p>
    <w:p w:rsidR="00C66953" w:rsidRPr="00357F13" w:rsidRDefault="000E06FF" w:rsidP="00D04F18">
      <w:pPr>
        <w:pStyle w:val="Heading3"/>
        <w:tabs>
          <w:tab w:val="clear" w:pos="851"/>
          <w:tab w:val="num" w:pos="1134"/>
        </w:tabs>
        <w:ind w:left="1134" w:hanging="1134"/>
      </w:pPr>
      <w:r w:rsidRPr="00357F13">
        <w:t xml:space="preserve">There </w:t>
      </w:r>
      <w:r w:rsidR="006B4ADA" w:rsidRPr="00357F13">
        <w:t>are</w:t>
      </w:r>
      <w:r w:rsidRPr="00357F13">
        <w:t xml:space="preserve"> functions on </w:t>
      </w:r>
      <w:r w:rsidR="006326B3" w:rsidRPr="00357F13">
        <w:t>the</w:t>
      </w:r>
      <w:r w:rsidRPr="00357F13">
        <w:t xml:space="preserve"> </w:t>
      </w:r>
      <w:r w:rsidR="006B4ADA" w:rsidRPr="00357F13">
        <w:t xml:space="preserve">form </w:t>
      </w:r>
      <w:r w:rsidRPr="00357F13">
        <w:t>to contro</w:t>
      </w:r>
      <w:r w:rsidR="001D4EBB" w:rsidRPr="00357F13">
        <w:t>l the software and submissions.</w:t>
      </w:r>
      <w:r w:rsidRPr="00357F13">
        <w:t xml:space="preserve"> Full details of these </w:t>
      </w:r>
      <w:r w:rsidR="006B4ADA" w:rsidRPr="00357F13">
        <w:t>are given in the User Manual, which is available from the Help section in the software</w:t>
      </w:r>
      <w:r w:rsidRPr="00357F13">
        <w:t>.</w:t>
      </w:r>
      <w:bookmarkStart w:id="49" w:name="_Toc89825857"/>
      <w:bookmarkStart w:id="50" w:name="_Toc89826822"/>
      <w:bookmarkStart w:id="51" w:name="_Toc95271063"/>
      <w:bookmarkStart w:id="52" w:name="_Ref130096894"/>
      <w:bookmarkStart w:id="53" w:name="_Ref130096900"/>
      <w:bookmarkStart w:id="54" w:name="_Toc264275398"/>
    </w:p>
    <w:p w:rsidR="00052539" w:rsidRPr="00357F13" w:rsidRDefault="00052539" w:rsidP="00052539">
      <w:pPr>
        <w:pStyle w:val="Heading3"/>
        <w:numPr>
          <w:ilvl w:val="0"/>
          <w:numId w:val="0"/>
        </w:numPr>
        <w:tabs>
          <w:tab w:val="clear" w:pos="851"/>
          <w:tab w:val="left" w:pos="1134"/>
        </w:tabs>
        <w:ind w:left="1134"/>
      </w:pPr>
    </w:p>
    <w:p w:rsidR="00CC42C9" w:rsidRPr="00357F13" w:rsidRDefault="00CC42C9" w:rsidP="008E26AA">
      <w:pPr>
        <w:pStyle w:val="Heading1"/>
        <w:tabs>
          <w:tab w:val="clear" w:pos="783"/>
          <w:tab w:val="num" w:pos="1134"/>
        </w:tabs>
        <w:ind w:left="851" w:hanging="851"/>
      </w:pPr>
      <w:bookmarkStart w:id="55" w:name="_Toc452126165"/>
      <w:r w:rsidRPr="00357F13">
        <w:t xml:space="preserve">SBF020 </w:t>
      </w:r>
      <w:bookmarkEnd w:id="49"/>
      <w:bookmarkEnd w:id="50"/>
      <w:r w:rsidRPr="00357F13">
        <w:t>EXCHANGE RATES</w:t>
      </w:r>
      <w:bookmarkEnd w:id="51"/>
      <w:bookmarkEnd w:id="52"/>
      <w:bookmarkEnd w:id="53"/>
      <w:bookmarkEnd w:id="54"/>
      <w:bookmarkEnd w:id="55"/>
    </w:p>
    <w:p w:rsidR="00911DE6" w:rsidRPr="00357F13" w:rsidRDefault="00911DE6" w:rsidP="00911DE6"/>
    <w:p w:rsidR="00CC42C9" w:rsidRPr="00357F13" w:rsidRDefault="005771EA" w:rsidP="000C2C36">
      <w:pPr>
        <w:pStyle w:val="Heading2"/>
        <w:tabs>
          <w:tab w:val="num" w:pos="1134"/>
        </w:tabs>
        <w:ind w:left="0" w:firstLine="0"/>
      </w:pPr>
      <w:r w:rsidRPr="00357F13">
        <w:t xml:space="preserve">       </w:t>
      </w:r>
      <w:r w:rsidR="00061345" w:rsidRPr="00357F13">
        <w:tab/>
      </w:r>
      <w:r w:rsidR="00CC42C9" w:rsidRPr="00357F13">
        <w:rPr>
          <w:sz w:val="24"/>
          <w:szCs w:val="24"/>
        </w:rPr>
        <w:t>Summary</w:t>
      </w:r>
    </w:p>
    <w:p w:rsidR="00B70E57" w:rsidRPr="00357F13" w:rsidRDefault="00CC42C9" w:rsidP="008E26AA">
      <w:pPr>
        <w:tabs>
          <w:tab w:val="left" w:pos="1134"/>
        </w:tabs>
        <w:ind w:left="1134"/>
      </w:pPr>
      <w:r w:rsidRPr="00357F13">
        <w:t xml:space="preserve">This </w:t>
      </w:r>
      <w:r w:rsidR="006B4ADA" w:rsidRPr="00357F13">
        <w:t xml:space="preserve">form </w:t>
      </w:r>
      <w:r w:rsidRPr="00357F13">
        <w:t>contains the exchange rates that are to be used for completing the SBF</w:t>
      </w:r>
      <w:r w:rsidR="00DE2E85" w:rsidRPr="00357F13">
        <w:t xml:space="preserve"> Return</w:t>
      </w:r>
      <w:r w:rsidRPr="00357F13">
        <w:t>.</w:t>
      </w:r>
      <w:r w:rsidR="00707EBB" w:rsidRPr="00357F13">
        <w:t xml:space="preserve"> </w:t>
      </w:r>
      <w:r w:rsidR="00FC7144" w:rsidRPr="00357F13">
        <w:t>Lloyd’s</w:t>
      </w:r>
      <w:r w:rsidR="00707EBB" w:rsidRPr="00357F13">
        <w:t xml:space="preserve"> will provide a mandatory Plan Rate for USD</w:t>
      </w:r>
      <w:r w:rsidR="006C1BBC" w:rsidRPr="00357F13">
        <w:t>,CAD,EUR,AUD</w:t>
      </w:r>
      <w:r w:rsidR="00707EBB" w:rsidRPr="00357F13">
        <w:t xml:space="preserve"> and other settlement currencies to GBP.</w:t>
      </w:r>
    </w:p>
    <w:p w:rsidR="00B70E57" w:rsidRPr="00357F13" w:rsidRDefault="00B70E57" w:rsidP="008E26AA">
      <w:pPr>
        <w:tabs>
          <w:tab w:val="left" w:pos="1134"/>
        </w:tabs>
        <w:ind w:left="1134"/>
      </w:pPr>
    </w:p>
    <w:p w:rsidR="002F336A" w:rsidRPr="00357F13" w:rsidRDefault="00B70E57" w:rsidP="008E26AA">
      <w:pPr>
        <w:tabs>
          <w:tab w:val="left" w:pos="1134"/>
        </w:tabs>
        <w:ind w:left="1134"/>
      </w:pPr>
      <w:r w:rsidRPr="00357F13">
        <w:t xml:space="preserve">In order to ensure consistency between the SBF and the </w:t>
      </w:r>
      <w:r w:rsidR="00FA3F10" w:rsidRPr="00357F13">
        <w:t>L</w:t>
      </w:r>
      <w:r w:rsidR="00E62857" w:rsidRPr="00357F13">
        <w:t>CR</w:t>
      </w:r>
      <w:r w:rsidRPr="00357F13">
        <w:t xml:space="preserve">, managing agents are required to use the </w:t>
      </w:r>
      <w:r w:rsidR="002F336A" w:rsidRPr="00357F13">
        <w:t>Plan rates for September submission.</w:t>
      </w:r>
    </w:p>
    <w:p w:rsidR="00B70E57" w:rsidRPr="00357F13" w:rsidRDefault="00B70E57" w:rsidP="008E26AA">
      <w:pPr>
        <w:tabs>
          <w:tab w:val="left" w:pos="1134"/>
        </w:tabs>
        <w:ind w:left="1134"/>
      </w:pPr>
    </w:p>
    <w:p w:rsidR="00FF0577" w:rsidRPr="00357F13" w:rsidRDefault="000325D0" w:rsidP="008E26AA">
      <w:pPr>
        <w:tabs>
          <w:tab w:val="left" w:pos="1134"/>
        </w:tabs>
        <w:ind w:left="1134"/>
        <w:rPr>
          <w:b/>
        </w:rPr>
      </w:pPr>
      <w:r w:rsidRPr="00357F13">
        <w:t>Lloyd’s expects m</w:t>
      </w:r>
      <w:r w:rsidR="0065197E" w:rsidRPr="00357F13">
        <w:t xml:space="preserve">anaging </w:t>
      </w:r>
      <w:r w:rsidRPr="00357F13">
        <w:t>a</w:t>
      </w:r>
      <w:r w:rsidR="0065197E" w:rsidRPr="00357F13">
        <w:t>gents to use the same rates of e</w:t>
      </w:r>
      <w:r w:rsidR="00FF0577" w:rsidRPr="00357F13">
        <w:t>xchange to monitor</w:t>
      </w:r>
      <w:r w:rsidR="0065197E" w:rsidRPr="00357F13">
        <w:t xml:space="preserve"> actual premium income against p</w:t>
      </w:r>
      <w:r w:rsidR="00FF0577" w:rsidRPr="00357F13">
        <w:t xml:space="preserve">lan. </w:t>
      </w:r>
      <w:r w:rsidR="00A274DD" w:rsidRPr="00357F13">
        <w:t>SB</w:t>
      </w:r>
      <w:r w:rsidR="007C0755" w:rsidRPr="00357F13">
        <w:t>P</w:t>
      </w:r>
      <w:r w:rsidR="00FF0577" w:rsidRPr="00357F13">
        <w:t xml:space="preserve"> will also </w:t>
      </w:r>
      <w:r w:rsidR="0065197E" w:rsidRPr="00357F13">
        <w:t>be monitoring premiums against p</w:t>
      </w:r>
      <w:r w:rsidR="00FF0577" w:rsidRPr="00357F13">
        <w:t>lan on this basis.</w:t>
      </w:r>
      <w:r w:rsidR="00FF0577" w:rsidRPr="00357F13">
        <w:rPr>
          <w:b/>
        </w:rPr>
        <w:t xml:space="preserve"> </w:t>
      </w:r>
    </w:p>
    <w:p w:rsidR="007D0F24" w:rsidRPr="00357F13" w:rsidRDefault="007D0F24" w:rsidP="008E26AA">
      <w:pPr>
        <w:tabs>
          <w:tab w:val="left" w:pos="1134"/>
        </w:tabs>
        <w:ind w:left="1134"/>
        <w:rPr>
          <w:b/>
        </w:rPr>
      </w:pPr>
    </w:p>
    <w:p w:rsidR="00CC42C9" w:rsidRPr="00357F13" w:rsidRDefault="005771EA" w:rsidP="000C2C36">
      <w:pPr>
        <w:pStyle w:val="Heading2"/>
        <w:tabs>
          <w:tab w:val="num" w:pos="1134"/>
        </w:tabs>
        <w:ind w:left="0" w:firstLine="0"/>
      </w:pPr>
      <w:r w:rsidRPr="00357F13">
        <w:t xml:space="preserve">       </w:t>
      </w:r>
      <w:r w:rsidR="00061345" w:rsidRPr="00357F13">
        <w:tab/>
      </w:r>
      <w:r w:rsidR="00CC42C9" w:rsidRPr="00357F13">
        <w:rPr>
          <w:sz w:val="24"/>
          <w:szCs w:val="24"/>
        </w:rPr>
        <w:t>Key points</w:t>
      </w:r>
    </w:p>
    <w:p w:rsidR="001F2D9A" w:rsidRPr="00357F13" w:rsidRDefault="00037B1F" w:rsidP="00037B1F">
      <w:pPr>
        <w:tabs>
          <w:tab w:val="left" w:pos="1134"/>
        </w:tabs>
        <w:ind w:left="1134"/>
      </w:pPr>
      <w:bookmarkStart w:id="56" w:name="Eva_FX_details"/>
      <w:r w:rsidRPr="00357F13">
        <w:t xml:space="preserve">Each year Lloyd’s sets the rates of exchange to be used for the prospective year of account in the business planning process. </w:t>
      </w:r>
    </w:p>
    <w:p w:rsidR="001F2D9A" w:rsidRPr="00357F13" w:rsidRDefault="001F2D9A" w:rsidP="00037B1F">
      <w:pPr>
        <w:tabs>
          <w:tab w:val="left" w:pos="1134"/>
        </w:tabs>
        <w:ind w:left="1134"/>
      </w:pPr>
    </w:p>
    <w:p w:rsidR="00037B1F" w:rsidRPr="00357F13" w:rsidRDefault="00037B1F" w:rsidP="00037B1F">
      <w:pPr>
        <w:tabs>
          <w:tab w:val="left" w:pos="1134"/>
        </w:tabs>
        <w:ind w:left="1134"/>
      </w:pPr>
      <w:r w:rsidRPr="00357F13">
        <w:t xml:space="preserve">For </w:t>
      </w:r>
      <w:r w:rsidR="002779CA" w:rsidRPr="00357F13">
        <w:t>20</w:t>
      </w:r>
      <w:r w:rsidR="00B71E4F" w:rsidRPr="00357F13">
        <w:t>20</w:t>
      </w:r>
      <w:r w:rsidRPr="00357F13">
        <w:t xml:space="preserve"> final SBF, the </w:t>
      </w:r>
      <w:r w:rsidRPr="00357F13">
        <w:rPr>
          <w:u w:val="single"/>
        </w:rPr>
        <w:t>Plan Rate</w:t>
      </w:r>
      <w:r w:rsidRPr="00357F13">
        <w:t xml:space="preserve"> will be set as </w:t>
      </w:r>
      <w:r w:rsidR="00E04A23" w:rsidRPr="00357F13">
        <w:t>of</w:t>
      </w:r>
      <w:r w:rsidRPr="00357F13">
        <w:t xml:space="preserve"> </w:t>
      </w:r>
      <w:r w:rsidR="00B73A52" w:rsidRPr="00357F13">
        <w:t>end of J</w:t>
      </w:r>
      <w:r w:rsidRPr="00357F13">
        <w:t xml:space="preserve">une </w:t>
      </w:r>
      <w:r w:rsidR="002779CA" w:rsidRPr="00357F13">
        <w:t>201</w:t>
      </w:r>
      <w:r w:rsidR="00B71E4F" w:rsidRPr="00357F13">
        <w:t>9</w:t>
      </w:r>
      <w:r w:rsidRPr="00357F13">
        <w:t xml:space="preserve"> and made available </w:t>
      </w:r>
      <w:r w:rsidR="00D00774" w:rsidRPr="00357F13">
        <w:t>by</w:t>
      </w:r>
      <w:r w:rsidRPr="00357F13">
        <w:t xml:space="preserve"> </w:t>
      </w:r>
      <w:r w:rsidR="00693601" w:rsidRPr="00357F13">
        <w:t>0</w:t>
      </w:r>
      <w:r w:rsidR="0029505F" w:rsidRPr="00357F13">
        <w:t>5</w:t>
      </w:r>
      <w:r w:rsidR="00B71E4F" w:rsidRPr="00357F13">
        <w:t xml:space="preserve"> </w:t>
      </w:r>
      <w:r w:rsidR="001F2D9A" w:rsidRPr="00357F13">
        <w:t xml:space="preserve">July </w:t>
      </w:r>
      <w:r w:rsidR="002779CA" w:rsidRPr="00357F13">
        <w:t>201</w:t>
      </w:r>
      <w:r w:rsidR="00693601" w:rsidRPr="00357F13">
        <w:t>9</w:t>
      </w:r>
      <w:r w:rsidRPr="00357F13">
        <w:t xml:space="preserve">. Rates will be communicated to managing agents in a market bulletin on </w:t>
      </w:r>
      <w:r w:rsidR="00773811" w:rsidRPr="00357F13">
        <w:t>0</w:t>
      </w:r>
      <w:r w:rsidR="00357F13" w:rsidRPr="00357F13">
        <w:t>1</w:t>
      </w:r>
      <w:r w:rsidRPr="00357F13">
        <w:t xml:space="preserve"> July and will be consistent with those used in the LCR process.</w:t>
      </w:r>
    </w:p>
    <w:bookmarkEnd w:id="56"/>
    <w:p w:rsidR="00C061C2" w:rsidRPr="00357F13" w:rsidRDefault="00C061C2" w:rsidP="008E26AA">
      <w:pPr>
        <w:tabs>
          <w:tab w:val="left" w:pos="1134"/>
        </w:tabs>
        <w:ind w:left="1134"/>
      </w:pPr>
    </w:p>
    <w:p w:rsidR="00307551" w:rsidRPr="00EA4E25" w:rsidRDefault="00DD26F9" w:rsidP="00307551">
      <w:pPr>
        <w:pStyle w:val="Heading3"/>
        <w:numPr>
          <w:ilvl w:val="0"/>
          <w:numId w:val="0"/>
        </w:numPr>
        <w:tabs>
          <w:tab w:val="clear" w:pos="851"/>
          <w:tab w:val="left" w:pos="1134"/>
        </w:tabs>
        <w:spacing w:after="0"/>
        <w:ind w:left="1134"/>
        <w:rPr>
          <w:color w:val="auto"/>
        </w:rPr>
      </w:pPr>
      <w:r w:rsidRPr="00357F13">
        <w:rPr>
          <w:color w:val="auto"/>
        </w:rPr>
        <w:t xml:space="preserve">These same exchange rates should be used to convert premiums to sterling when monitoring premium against business plans, irrespective of fluctuations in the actual rates of exchange over time.  Prescribing a fixed exchange rate allows direct comparison with the figures used in the original approved business </w:t>
      </w:r>
      <w:r w:rsidR="00693601" w:rsidRPr="00357F13">
        <w:rPr>
          <w:color w:val="auto"/>
        </w:rPr>
        <w:t>plan and</w:t>
      </w:r>
      <w:r w:rsidRPr="00357F13">
        <w:rPr>
          <w:color w:val="auto"/>
        </w:rPr>
        <w:t xml:space="preserve"> introduces a uniform approach for all Lloyd’s reporting purposes.</w:t>
      </w:r>
      <w:r w:rsidRPr="00EA4E25">
        <w:rPr>
          <w:color w:val="auto"/>
        </w:rPr>
        <w:t xml:space="preserve">  </w:t>
      </w:r>
    </w:p>
    <w:p w:rsidR="00307551" w:rsidRPr="00EA4E25" w:rsidRDefault="00307551" w:rsidP="00307551">
      <w:pPr>
        <w:pStyle w:val="Heading3"/>
        <w:numPr>
          <w:ilvl w:val="0"/>
          <w:numId w:val="0"/>
        </w:numPr>
        <w:tabs>
          <w:tab w:val="clear" w:pos="851"/>
          <w:tab w:val="left" w:pos="1134"/>
        </w:tabs>
        <w:spacing w:after="0"/>
        <w:ind w:left="1134"/>
        <w:rPr>
          <w:color w:val="auto"/>
        </w:rPr>
      </w:pPr>
    </w:p>
    <w:p w:rsidR="00391ED8" w:rsidRPr="00EA4E25" w:rsidRDefault="00391ED8" w:rsidP="00307551">
      <w:pPr>
        <w:pStyle w:val="Heading3"/>
        <w:numPr>
          <w:ilvl w:val="0"/>
          <w:numId w:val="0"/>
        </w:numPr>
        <w:tabs>
          <w:tab w:val="clear" w:pos="851"/>
          <w:tab w:val="left" w:pos="1134"/>
        </w:tabs>
        <w:spacing w:after="0"/>
        <w:ind w:left="1134"/>
      </w:pPr>
      <w:r w:rsidRPr="00EA4E25">
        <w:t>This form is a</w:t>
      </w:r>
      <w:r w:rsidR="005F1920" w:rsidRPr="00EA4E25">
        <w:t xml:space="preserve"> read-only form as the data is </w:t>
      </w:r>
      <w:r w:rsidRPr="00EA4E25">
        <w:t xml:space="preserve">supplied by Lloyd’s. </w:t>
      </w:r>
    </w:p>
    <w:p w:rsidR="00911DE6" w:rsidRPr="00EA4E25" w:rsidRDefault="00911DE6" w:rsidP="00307551">
      <w:pPr>
        <w:pStyle w:val="Heading3"/>
        <w:numPr>
          <w:ilvl w:val="0"/>
          <w:numId w:val="0"/>
        </w:numPr>
        <w:tabs>
          <w:tab w:val="clear" w:pos="851"/>
          <w:tab w:val="left" w:pos="1134"/>
        </w:tabs>
        <w:spacing w:after="0"/>
        <w:ind w:left="1134"/>
        <w:rPr>
          <w:color w:val="auto"/>
        </w:rPr>
      </w:pPr>
    </w:p>
    <w:p w:rsidR="00707EBB" w:rsidRPr="00EA4E25" w:rsidRDefault="00707EBB" w:rsidP="008E26AA">
      <w:pPr>
        <w:pStyle w:val="Heading3"/>
        <w:numPr>
          <w:ilvl w:val="0"/>
          <w:numId w:val="0"/>
        </w:numPr>
        <w:tabs>
          <w:tab w:val="num" w:pos="851"/>
          <w:tab w:val="left" w:pos="1134"/>
        </w:tabs>
        <w:spacing w:after="0"/>
        <w:ind w:left="851" w:hanging="851"/>
      </w:pPr>
    </w:p>
    <w:p w:rsidR="00CC42C9" w:rsidRPr="00111F9B" w:rsidRDefault="00CC42C9" w:rsidP="008E26AA">
      <w:pPr>
        <w:pStyle w:val="Heading1"/>
        <w:tabs>
          <w:tab w:val="clear" w:pos="783"/>
          <w:tab w:val="left" w:pos="1134"/>
        </w:tabs>
        <w:ind w:left="1134" w:hanging="1134"/>
      </w:pPr>
      <w:bookmarkStart w:id="57" w:name="_Toc89825860"/>
      <w:bookmarkStart w:id="58" w:name="_Toc89826825"/>
      <w:bookmarkStart w:id="59" w:name="_Toc95271064"/>
      <w:bookmarkStart w:id="60" w:name="_Toc264275399"/>
      <w:bookmarkStart w:id="61" w:name="_Toc452126166"/>
      <w:r w:rsidRPr="00111F9B">
        <w:t xml:space="preserve">SBF050 </w:t>
      </w:r>
      <w:r w:rsidR="00B96092" w:rsidRPr="00111F9B">
        <w:t>CLASS OF BUSINESS</w:t>
      </w:r>
      <w:r w:rsidRPr="00111F9B">
        <w:t xml:space="preserve"> DESCRIPTIONS</w:t>
      </w:r>
      <w:bookmarkEnd w:id="57"/>
      <w:bookmarkEnd w:id="58"/>
      <w:bookmarkEnd w:id="59"/>
      <w:bookmarkEnd w:id="60"/>
      <w:bookmarkEnd w:id="61"/>
    </w:p>
    <w:p w:rsidR="00911DE6" w:rsidRPr="00111F9B" w:rsidRDefault="00911DE6" w:rsidP="00911DE6"/>
    <w:p w:rsidR="00CC42C9" w:rsidRPr="00111F9B" w:rsidRDefault="005771EA" w:rsidP="000C2C36">
      <w:pPr>
        <w:pStyle w:val="Heading2"/>
        <w:tabs>
          <w:tab w:val="num" w:pos="1134"/>
        </w:tabs>
        <w:ind w:left="0" w:firstLine="0"/>
      </w:pPr>
      <w:bookmarkStart w:id="62" w:name="_Toc89825861"/>
      <w:bookmarkStart w:id="63" w:name="_Toc89826826"/>
      <w:r w:rsidRPr="00111F9B">
        <w:t xml:space="preserve">       </w:t>
      </w:r>
      <w:r w:rsidR="00061345" w:rsidRPr="00111F9B">
        <w:tab/>
      </w:r>
      <w:r w:rsidR="00CC42C9" w:rsidRPr="00111F9B">
        <w:rPr>
          <w:sz w:val="24"/>
          <w:szCs w:val="24"/>
        </w:rPr>
        <w:t>Summary</w:t>
      </w:r>
      <w:bookmarkEnd w:id="62"/>
      <w:bookmarkEnd w:id="63"/>
    </w:p>
    <w:p w:rsidR="00CC42C9" w:rsidRPr="00235165" w:rsidRDefault="00CC42C9" w:rsidP="00D04F18">
      <w:pPr>
        <w:pStyle w:val="Heading3"/>
        <w:tabs>
          <w:tab w:val="clear" w:pos="851"/>
          <w:tab w:val="num" w:pos="1134"/>
        </w:tabs>
        <w:ind w:left="1134" w:hanging="1134"/>
        <w:rPr>
          <w:color w:val="auto"/>
        </w:rPr>
      </w:pPr>
      <w:r w:rsidRPr="00111F9B">
        <w:t xml:space="preserve">This </w:t>
      </w:r>
      <w:r w:rsidR="006B4ADA" w:rsidRPr="00111F9B">
        <w:t xml:space="preserve">form </w:t>
      </w:r>
      <w:r w:rsidRPr="00111F9B">
        <w:t xml:space="preserve">details the types of business that </w:t>
      </w:r>
      <w:r w:rsidR="006744E2" w:rsidRPr="00111F9B">
        <w:t xml:space="preserve">the syndicate is </w:t>
      </w:r>
      <w:r w:rsidRPr="00111F9B">
        <w:t>writing or intend</w:t>
      </w:r>
      <w:r w:rsidR="006744E2" w:rsidRPr="00111F9B">
        <w:t>s</w:t>
      </w:r>
      <w:r w:rsidRPr="00111F9B">
        <w:t xml:space="preserve"> to write</w:t>
      </w:r>
      <w:r w:rsidR="00031F41" w:rsidRPr="00111F9B">
        <w:t>.</w:t>
      </w:r>
      <w:r w:rsidR="00BB1C21" w:rsidRPr="00111F9B">
        <w:t xml:space="preserve"> </w:t>
      </w:r>
      <w:r w:rsidR="007C0755" w:rsidRPr="00111F9B">
        <w:t>The</w:t>
      </w:r>
      <w:r w:rsidR="00BB1C21" w:rsidRPr="00111F9B">
        <w:t xml:space="preserve"> </w:t>
      </w:r>
      <w:r w:rsidR="002407AE" w:rsidRPr="00111F9B">
        <w:t xml:space="preserve">syndicate </w:t>
      </w:r>
      <w:r w:rsidR="00FE1BA2" w:rsidRPr="00111F9B">
        <w:t>classes should be sufficiently granular to allow effective performance monitoring by generic line of bu</w:t>
      </w:r>
      <w:r w:rsidR="00FE1BA2" w:rsidRPr="00235165">
        <w:rPr>
          <w:color w:val="auto"/>
        </w:rPr>
        <w:t>siness.</w:t>
      </w:r>
    </w:p>
    <w:p w:rsidR="009A6B79" w:rsidRPr="00111F9B" w:rsidRDefault="009A6B79" w:rsidP="00D04F18">
      <w:pPr>
        <w:pStyle w:val="Heading3"/>
        <w:tabs>
          <w:tab w:val="clear" w:pos="851"/>
          <w:tab w:val="num" w:pos="1134"/>
        </w:tabs>
        <w:ind w:left="1134" w:hanging="1134"/>
      </w:pPr>
      <w:r w:rsidRPr="00235165">
        <w:rPr>
          <w:color w:val="auto"/>
        </w:rPr>
        <w:t>Any discontinued class</w:t>
      </w:r>
      <w:r w:rsidR="007C0755" w:rsidRPr="00235165">
        <w:rPr>
          <w:color w:val="auto"/>
        </w:rPr>
        <w:t>es of business for</w:t>
      </w:r>
      <w:r w:rsidRPr="00235165">
        <w:rPr>
          <w:color w:val="auto"/>
        </w:rPr>
        <w:t xml:space="preserve"> </w:t>
      </w:r>
      <w:r w:rsidR="002779CA" w:rsidRPr="00235165">
        <w:rPr>
          <w:color w:val="auto"/>
        </w:rPr>
        <w:t>20</w:t>
      </w:r>
      <w:r w:rsidR="00693601" w:rsidRPr="00235165">
        <w:rPr>
          <w:color w:val="auto"/>
        </w:rPr>
        <w:t>20</w:t>
      </w:r>
      <w:r w:rsidRPr="00235165">
        <w:rPr>
          <w:color w:val="auto"/>
        </w:rPr>
        <w:t xml:space="preserve"> should not </w:t>
      </w:r>
      <w:r w:rsidRPr="00111F9B">
        <w:t>be included.</w:t>
      </w:r>
    </w:p>
    <w:p w:rsidR="009D01E6" w:rsidRPr="00EA4E25" w:rsidRDefault="00CC42C9" w:rsidP="00D04F18">
      <w:pPr>
        <w:pStyle w:val="Heading3"/>
        <w:tabs>
          <w:tab w:val="clear" w:pos="851"/>
          <w:tab w:val="num" w:pos="1134"/>
        </w:tabs>
        <w:ind w:left="1134" w:hanging="1134"/>
        <w:rPr>
          <w:rFonts w:cs="Arial"/>
        </w:rPr>
      </w:pPr>
      <w:r w:rsidRPr="00111F9B">
        <w:t xml:space="preserve">In the </w:t>
      </w:r>
      <w:r w:rsidR="006632E9" w:rsidRPr="00111F9B">
        <w:t>prospective</w:t>
      </w:r>
      <w:r w:rsidRPr="00111F9B">
        <w:t xml:space="preserve"> year of account all current </w:t>
      </w:r>
      <w:r w:rsidR="002407AE" w:rsidRPr="00111F9B">
        <w:t xml:space="preserve">syndicate </w:t>
      </w:r>
      <w:r w:rsidRPr="00111F9B">
        <w:t xml:space="preserve">classes of business will be displayed. </w:t>
      </w:r>
      <w:r w:rsidR="00FB1AC0" w:rsidRPr="00111F9B">
        <w:t>However</w:t>
      </w:r>
      <w:r w:rsidR="00FB1AC0" w:rsidRPr="00EA4E25">
        <w:t>,</w:t>
      </w:r>
      <w:r w:rsidRPr="00EA4E25">
        <w:t xml:space="preserve"> all classes of business</w:t>
      </w:r>
      <w:r w:rsidR="0045270D" w:rsidRPr="00EA4E25">
        <w:t xml:space="preserve"> and risk codes</w:t>
      </w:r>
      <w:r w:rsidRPr="00EA4E25">
        <w:t xml:space="preserve">, current or new, are subject to </w:t>
      </w:r>
      <w:r w:rsidR="00275B43" w:rsidRPr="00EA4E25">
        <w:t>approval</w:t>
      </w:r>
      <w:r w:rsidRPr="00EA4E25">
        <w:t xml:space="preserve"> by </w:t>
      </w:r>
      <w:r w:rsidR="00083F8A" w:rsidRPr="00EA4E25">
        <w:t xml:space="preserve">CPG </w:t>
      </w:r>
      <w:r w:rsidRPr="00EA4E25">
        <w:t>in this submission.</w:t>
      </w:r>
      <w:r w:rsidR="00E847B1" w:rsidRPr="00EA4E25">
        <w:t xml:space="preserve"> </w:t>
      </w:r>
    </w:p>
    <w:p w:rsidR="00CC42C9" w:rsidRPr="00EA4E25" w:rsidRDefault="00E847B1" w:rsidP="00D04F18">
      <w:pPr>
        <w:pStyle w:val="Heading3"/>
        <w:tabs>
          <w:tab w:val="clear" w:pos="851"/>
          <w:tab w:val="num" w:pos="1134"/>
        </w:tabs>
        <w:ind w:left="1134" w:hanging="1134"/>
        <w:rPr>
          <w:rFonts w:cs="Arial"/>
          <w:color w:val="auto"/>
        </w:rPr>
      </w:pPr>
      <w:r w:rsidRPr="00EA4E25">
        <w:rPr>
          <w:color w:val="auto"/>
        </w:rPr>
        <w:t>Where new risk codes are being requested</w:t>
      </w:r>
      <w:r w:rsidR="00C0741C" w:rsidRPr="00EA4E25">
        <w:rPr>
          <w:color w:val="auto"/>
        </w:rPr>
        <w:t xml:space="preserve"> under historical classes of business</w:t>
      </w:r>
      <w:r w:rsidRPr="00EA4E25">
        <w:rPr>
          <w:color w:val="auto"/>
        </w:rPr>
        <w:t>, this should be made clear in the requi</w:t>
      </w:r>
      <w:r w:rsidR="00C0741C" w:rsidRPr="00EA4E25">
        <w:rPr>
          <w:color w:val="auto"/>
        </w:rPr>
        <w:t xml:space="preserve">red additional information </w:t>
      </w:r>
      <w:r w:rsidR="00BD2F72">
        <w:rPr>
          <w:color w:val="auto"/>
        </w:rPr>
        <w:t>under form</w:t>
      </w:r>
      <w:r w:rsidRPr="00EA4E25">
        <w:rPr>
          <w:color w:val="auto"/>
        </w:rPr>
        <w:t xml:space="preserve"> 990.</w:t>
      </w:r>
    </w:p>
    <w:p w:rsidR="00CC42C9" w:rsidRPr="00EA4E25" w:rsidRDefault="000C2C36" w:rsidP="000C2C36">
      <w:pPr>
        <w:pStyle w:val="Heading2"/>
        <w:tabs>
          <w:tab w:val="num" w:pos="1134"/>
        </w:tabs>
        <w:ind w:left="0" w:firstLine="0"/>
      </w:pPr>
      <w:r w:rsidRPr="00EA4E25">
        <w:t xml:space="preserve">       </w:t>
      </w:r>
      <w:r w:rsidR="00061345" w:rsidRPr="00EA4E25">
        <w:tab/>
      </w:r>
      <w:r w:rsidR="00DD4DD5" w:rsidRPr="00EA4E25">
        <w:rPr>
          <w:sz w:val="24"/>
          <w:szCs w:val="24"/>
        </w:rPr>
        <w:t>Key Points</w:t>
      </w:r>
    </w:p>
    <w:p w:rsidR="00CC42C9" w:rsidRPr="00EA4E25" w:rsidRDefault="00CC42C9" w:rsidP="00D04F18">
      <w:pPr>
        <w:pStyle w:val="Heading3"/>
        <w:tabs>
          <w:tab w:val="clear" w:pos="851"/>
          <w:tab w:val="num" w:pos="1134"/>
        </w:tabs>
        <w:ind w:left="1134" w:hanging="1134"/>
        <w:rPr>
          <w:color w:val="auto"/>
        </w:rPr>
      </w:pPr>
      <w:r w:rsidRPr="00EA4E25">
        <w:rPr>
          <w:color w:val="auto"/>
        </w:rPr>
        <w:t xml:space="preserve">This </w:t>
      </w:r>
      <w:r w:rsidR="006B4ADA" w:rsidRPr="00EA4E25">
        <w:rPr>
          <w:color w:val="auto"/>
        </w:rPr>
        <w:t xml:space="preserve">form </w:t>
      </w:r>
      <w:r w:rsidRPr="00EA4E25">
        <w:rPr>
          <w:color w:val="auto"/>
        </w:rPr>
        <w:t xml:space="preserve">is divided into </w:t>
      </w:r>
      <w:r w:rsidR="00FF1746" w:rsidRPr="00EA4E25">
        <w:rPr>
          <w:color w:val="auto"/>
        </w:rPr>
        <w:t>t</w:t>
      </w:r>
      <w:r w:rsidR="00EC6A41" w:rsidRPr="00EA4E25">
        <w:rPr>
          <w:color w:val="auto"/>
        </w:rPr>
        <w:t>wo</w:t>
      </w:r>
      <w:r w:rsidR="00FF1746" w:rsidRPr="00EA4E25">
        <w:rPr>
          <w:color w:val="auto"/>
        </w:rPr>
        <w:t xml:space="preserve"> sections </w:t>
      </w:r>
      <w:r w:rsidR="00963055" w:rsidRPr="00EA4E25">
        <w:rPr>
          <w:color w:val="auto"/>
        </w:rPr>
        <w:t>on the input screen</w:t>
      </w:r>
      <w:r w:rsidRPr="00EA4E25">
        <w:rPr>
          <w:color w:val="auto"/>
        </w:rPr>
        <w:t xml:space="preserve">. The top </w:t>
      </w:r>
      <w:r w:rsidR="00FF1746" w:rsidRPr="00EA4E25">
        <w:rPr>
          <w:color w:val="auto"/>
        </w:rPr>
        <w:t xml:space="preserve">section </w:t>
      </w:r>
      <w:r w:rsidRPr="00EA4E25">
        <w:rPr>
          <w:color w:val="auto"/>
        </w:rPr>
        <w:t xml:space="preserve">displays all the </w:t>
      </w:r>
      <w:r w:rsidR="00275B43" w:rsidRPr="00EA4E25">
        <w:rPr>
          <w:color w:val="auto"/>
        </w:rPr>
        <w:t>approved</w:t>
      </w:r>
      <w:r w:rsidRPr="00EA4E25">
        <w:rPr>
          <w:color w:val="auto"/>
        </w:rPr>
        <w:t xml:space="preserve"> classes of business for the relevant year of account. The </w:t>
      </w:r>
      <w:r w:rsidR="00FF1746" w:rsidRPr="00EA4E25">
        <w:rPr>
          <w:color w:val="auto"/>
        </w:rPr>
        <w:t>second section</w:t>
      </w:r>
      <w:r w:rsidRPr="00EA4E25">
        <w:rPr>
          <w:color w:val="auto"/>
        </w:rPr>
        <w:t xml:space="preserve"> displays classes of business that are subject to </w:t>
      </w:r>
      <w:r w:rsidR="00275B43" w:rsidRPr="00EA4E25">
        <w:rPr>
          <w:color w:val="auto"/>
        </w:rPr>
        <w:t>approval</w:t>
      </w:r>
      <w:r w:rsidRPr="00EA4E25">
        <w:rPr>
          <w:color w:val="auto"/>
        </w:rPr>
        <w:t xml:space="preserve"> for the year of account in question</w:t>
      </w:r>
      <w:r w:rsidR="00A63534" w:rsidRPr="00EA4E25">
        <w:rPr>
          <w:color w:val="auto"/>
        </w:rPr>
        <w:t xml:space="preserve"> i.e.</w:t>
      </w:r>
      <w:r w:rsidRPr="00EA4E25">
        <w:rPr>
          <w:color w:val="auto"/>
        </w:rPr>
        <w:t xml:space="preserve"> </w:t>
      </w:r>
      <w:r w:rsidR="00031F41" w:rsidRPr="00EA4E25">
        <w:rPr>
          <w:color w:val="auto"/>
        </w:rPr>
        <w:t xml:space="preserve">all </w:t>
      </w:r>
      <w:r w:rsidRPr="00EA4E25">
        <w:rPr>
          <w:color w:val="auto"/>
        </w:rPr>
        <w:t>new class</w:t>
      </w:r>
      <w:r w:rsidR="00367325" w:rsidRPr="00EA4E25">
        <w:rPr>
          <w:color w:val="auto"/>
        </w:rPr>
        <w:t>es</w:t>
      </w:r>
      <w:r w:rsidRPr="00EA4E25">
        <w:rPr>
          <w:color w:val="auto"/>
        </w:rPr>
        <w:t xml:space="preserve"> of business</w:t>
      </w:r>
      <w:r w:rsidR="00A63534" w:rsidRPr="00EA4E25">
        <w:rPr>
          <w:color w:val="auto"/>
        </w:rPr>
        <w:t xml:space="preserve">. </w:t>
      </w:r>
    </w:p>
    <w:p w:rsidR="006D231D" w:rsidRPr="00EA4E25" w:rsidRDefault="006D231D" w:rsidP="00D04F18">
      <w:pPr>
        <w:pStyle w:val="Heading3"/>
        <w:tabs>
          <w:tab w:val="num" w:pos="1134"/>
        </w:tabs>
        <w:ind w:left="1134" w:hanging="1134"/>
        <w:rPr>
          <w:rFonts w:cs="Arial"/>
          <w:b/>
          <w:u w:val="single"/>
        </w:rPr>
      </w:pPr>
      <w:r w:rsidRPr="00EA4E25">
        <w:rPr>
          <w:rFonts w:cs="Arial"/>
          <w:color w:val="00000D"/>
        </w:rPr>
        <w:tab/>
      </w:r>
      <w:r w:rsidRPr="00EA4E25">
        <w:rPr>
          <w:rFonts w:cs="Arial"/>
        </w:rPr>
        <w:t>New classes of business can be added to the SBF for approval. These must be unique in both description and code. It is not possible to delete or change existing classes of business, unless reclassifying (</w:t>
      </w:r>
      <w:r w:rsidR="00413569" w:rsidRPr="00EA4E25">
        <w:rPr>
          <w:rFonts w:cs="Arial"/>
          <w:color w:val="auto"/>
        </w:rPr>
        <w:t xml:space="preserve">see </w:t>
      </w:r>
      <w:r w:rsidRPr="00EA4E25">
        <w:rPr>
          <w:rFonts w:cs="Arial"/>
          <w:color w:val="auto"/>
        </w:rPr>
        <w:t>b</w:t>
      </w:r>
      <w:r w:rsidRPr="00EA4E25">
        <w:rPr>
          <w:rFonts w:cs="Arial"/>
        </w:rPr>
        <w:t xml:space="preserve">elow). Please ensure that the class of business codes selected for use in a business plan only use combinations of numbers (0 to 9) and letters (A to Z). </w:t>
      </w:r>
      <w:r w:rsidRPr="00EA4E25">
        <w:rPr>
          <w:rFonts w:cs="Arial"/>
          <w:b/>
          <w:u w:val="single"/>
        </w:rPr>
        <w:t>Characters such as &amp;, #</w:t>
      </w:r>
      <w:r w:rsidR="00D24266">
        <w:rPr>
          <w:rFonts w:cs="Arial"/>
          <w:b/>
          <w:u w:val="single"/>
        </w:rPr>
        <w:t>,</w:t>
      </w:r>
      <w:r w:rsidRPr="00EA4E25">
        <w:rPr>
          <w:rFonts w:cs="Arial"/>
          <w:b/>
          <w:u w:val="single"/>
        </w:rPr>
        <w:t xml:space="preserve"> </w:t>
      </w:r>
      <w:r w:rsidR="005C47C8" w:rsidRPr="00EA4E25">
        <w:rPr>
          <w:rFonts w:cs="Arial"/>
          <w:b/>
          <w:u w:val="single"/>
        </w:rPr>
        <w:t>“</w:t>
      </w:r>
      <w:r w:rsidR="00D24266">
        <w:rPr>
          <w:rFonts w:cs="Arial"/>
          <w:b/>
          <w:u w:val="single"/>
        </w:rPr>
        <w:t xml:space="preserve">, </w:t>
      </w:r>
      <w:r w:rsidRPr="00EA4E25">
        <w:rPr>
          <w:rFonts w:cs="Arial"/>
          <w:b/>
          <w:u w:val="single"/>
        </w:rPr>
        <w:t>etc. should not be used in class of business codes.</w:t>
      </w:r>
    </w:p>
    <w:p w:rsidR="00911DE6" w:rsidRPr="00EA4E25" w:rsidRDefault="00CC42C9" w:rsidP="00D04F18">
      <w:pPr>
        <w:pStyle w:val="Heading3"/>
        <w:tabs>
          <w:tab w:val="clear" w:pos="851"/>
          <w:tab w:val="num" w:pos="1134"/>
        </w:tabs>
        <w:ind w:left="1134" w:hanging="1134"/>
      </w:pPr>
      <w:r w:rsidRPr="00EA4E25">
        <w:t>Any new classes of business will not be</w:t>
      </w:r>
      <w:r w:rsidR="00275B43" w:rsidRPr="00EA4E25">
        <w:t>come active</w:t>
      </w:r>
      <w:r w:rsidRPr="00EA4E25">
        <w:t xml:space="preserve"> until the SBF is </w:t>
      </w:r>
      <w:r w:rsidR="00275B43" w:rsidRPr="00EA4E25">
        <w:t>approved</w:t>
      </w:r>
      <w:r w:rsidRPr="00EA4E25">
        <w:t>. When you are notified of approval</w:t>
      </w:r>
      <w:r w:rsidR="006B4ADA" w:rsidRPr="00EA4E25">
        <w:t>,</w:t>
      </w:r>
      <w:r w:rsidRPr="00EA4E25">
        <w:t xml:space="preserve"> </w:t>
      </w:r>
      <w:r w:rsidR="006B4ADA" w:rsidRPr="00EA4E25">
        <w:t xml:space="preserve">you will be able to use the </w:t>
      </w:r>
      <w:r w:rsidRPr="00EA4E25">
        <w:t xml:space="preserve">new class(es) of business in other </w:t>
      </w:r>
      <w:r w:rsidR="00275B43" w:rsidRPr="00EA4E25">
        <w:t>returns</w:t>
      </w:r>
      <w:r w:rsidR="006B4ADA" w:rsidRPr="00EA4E25">
        <w:t xml:space="preserve"> that require them</w:t>
      </w:r>
      <w:r w:rsidR="00275B43" w:rsidRPr="00EA4E25">
        <w:t>,</w:t>
      </w:r>
      <w:r w:rsidRPr="00EA4E25">
        <w:t xml:space="preserve"> such as the </w:t>
      </w:r>
      <w:r w:rsidR="00BB1C21" w:rsidRPr="00EA4E25">
        <w:t>QMB</w:t>
      </w:r>
      <w:r w:rsidR="005C47C8" w:rsidRPr="00EA4E25">
        <w:t xml:space="preserve"> and </w:t>
      </w:r>
      <w:r w:rsidR="003021E6" w:rsidRPr="00EA4E25">
        <w:t>PMDR</w:t>
      </w:r>
      <w:r w:rsidRPr="00EA4E25">
        <w:t>.</w:t>
      </w:r>
    </w:p>
    <w:p w:rsidR="00B240D2" w:rsidRPr="00EA4E25" w:rsidRDefault="00275B43" w:rsidP="00D04F18">
      <w:pPr>
        <w:pStyle w:val="Heading3"/>
        <w:tabs>
          <w:tab w:val="clear" w:pos="851"/>
          <w:tab w:val="num" w:pos="1134"/>
        </w:tabs>
        <w:ind w:left="1134" w:hanging="1134"/>
      </w:pPr>
      <w:r w:rsidRPr="00EA4E25">
        <w:t xml:space="preserve">For the </w:t>
      </w:r>
      <w:r w:rsidR="006632E9" w:rsidRPr="00EA4E25">
        <w:t>prospective</w:t>
      </w:r>
      <w:r w:rsidR="00CC42C9" w:rsidRPr="00EA4E25">
        <w:t xml:space="preserve"> </w:t>
      </w:r>
      <w:r w:rsidRPr="00EA4E25">
        <w:t>y</w:t>
      </w:r>
      <w:r w:rsidR="00CC42C9" w:rsidRPr="00EA4E25">
        <w:t xml:space="preserve">ear </w:t>
      </w:r>
      <w:r w:rsidR="007C0755" w:rsidRPr="00EA4E25">
        <w:t xml:space="preserve">managing </w:t>
      </w:r>
      <w:r w:rsidRPr="00EA4E25">
        <w:t>a</w:t>
      </w:r>
      <w:r w:rsidR="00CC42C9" w:rsidRPr="00EA4E25">
        <w:t xml:space="preserve">gents are able to select or deselect any classes of business from the </w:t>
      </w:r>
      <w:r w:rsidRPr="00EA4E25">
        <w:t>lists</w:t>
      </w:r>
      <w:r w:rsidR="00CC42C9" w:rsidRPr="00EA4E25">
        <w:t xml:space="preserve">. Removing a </w:t>
      </w:r>
      <w:r w:rsidR="00B96092" w:rsidRPr="00EA4E25">
        <w:t>class of business</w:t>
      </w:r>
      <w:r w:rsidR="00CC42C9" w:rsidRPr="00EA4E25">
        <w:t xml:space="preserve"> will also remove the risk code mapping for the class.</w:t>
      </w:r>
      <w:r w:rsidR="0045270D" w:rsidRPr="00EA4E25">
        <w:t xml:space="preserve"> </w:t>
      </w:r>
      <w:r w:rsidR="00C85101" w:rsidRPr="00EA4E25">
        <w:t xml:space="preserve">Where a </w:t>
      </w:r>
      <w:r w:rsidR="0045270D" w:rsidRPr="00EA4E25">
        <w:t>class i</w:t>
      </w:r>
      <w:r w:rsidR="003301E4" w:rsidRPr="00EA4E25">
        <w:t xml:space="preserve">s removed from the </w:t>
      </w:r>
      <w:r w:rsidR="00BB1C21" w:rsidRPr="00EA4E25">
        <w:t xml:space="preserve">prospective </w:t>
      </w:r>
      <w:r w:rsidR="003301E4" w:rsidRPr="00EA4E25">
        <w:t>SBF</w:t>
      </w:r>
      <w:r w:rsidR="0045270D" w:rsidRPr="00EA4E25">
        <w:t>, the syndicate is still required to c</w:t>
      </w:r>
      <w:r w:rsidR="00BB1C21" w:rsidRPr="00EA4E25">
        <w:t>omplete QMB for this class for the open years.</w:t>
      </w:r>
    </w:p>
    <w:p w:rsidR="00911DE6" w:rsidRPr="00EA4E25" w:rsidRDefault="00C4122D" w:rsidP="003D560C">
      <w:pPr>
        <w:pStyle w:val="Heading3"/>
        <w:tabs>
          <w:tab w:val="clear" w:pos="851"/>
          <w:tab w:val="num" w:pos="1134"/>
        </w:tabs>
        <w:ind w:left="1134" w:hanging="1134"/>
      </w:pPr>
      <w:r w:rsidRPr="00EA4E25">
        <w:t xml:space="preserve">Lloyd’s is prescribing that </w:t>
      </w:r>
      <w:r w:rsidR="00EC6A41" w:rsidRPr="00EA4E25">
        <w:t>Offshore</w:t>
      </w:r>
      <w:r w:rsidRPr="00EA4E25">
        <w:t xml:space="preserve"> </w:t>
      </w:r>
      <w:r w:rsidR="00EC6A41" w:rsidRPr="00EA4E25">
        <w:t>Energy</w:t>
      </w:r>
      <w:r w:rsidRPr="00EA4E25">
        <w:t xml:space="preserve"> Gulf of Mexico wind and </w:t>
      </w:r>
      <w:r w:rsidR="00EC6A41" w:rsidRPr="00EA4E25">
        <w:t>Offshore</w:t>
      </w:r>
      <w:r w:rsidRPr="00EA4E25">
        <w:t xml:space="preserve"> </w:t>
      </w:r>
      <w:r w:rsidR="00EC6A41" w:rsidRPr="00EA4E25">
        <w:t>Energy</w:t>
      </w:r>
      <w:r w:rsidRPr="00EA4E25">
        <w:t xml:space="preserve"> business excluding Gulf of Mexico wind must be recorded in the plan using specific </w:t>
      </w:r>
      <w:r w:rsidR="00B96092" w:rsidRPr="00EA4E25">
        <w:t>class of business</w:t>
      </w:r>
      <w:r w:rsidRPr="00EA4E25">
        <w:t xml:space="preserve"> codes as shown in the table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529"/>
      </w:tblGrid>
      <w:tr w:rsidR="006D2A70" w:rsidRPr="00EA4E25" w:rsidTr="00235165">
        <w:tc>
          <w:tcPr>
            <w:tcW w:w="2948" w:type="dxa"/>
            <w:shd w:val="clear" w:color="auto" w:fill="auto"/>
          </w:tcPr>
          <w:p w:rsidR="00C4122D" w:rsidRPr="00EA4E25" w:rsidRDefault="00B96092" w:rsidP="00A77EAC">
            <w:pPr>
              <w:pStyle w:val="Heading3"/>
              <w:numPr>
                <w:ilvl w:val="0"/>
                <w:numId w:val="0"/>
              </w:numPr>
              <w:tabs>
                <w:tab w:val="clear" w:pos="851"/>
                <w:tab w:val="left" w:pos="1134"/>
              </w:tabs>
            </w:pPr>
            <w:r w:rsidRPr="00EA4E25">
              <w:t>Class of business</w:t>
            </w:r>
            <w:r w:rsidR="00C4122D" w:rsidRPr="00EA4E25">
              <w:t xml:space="preserve"> Code</w:t>
            </w:r>
          </w:p>
        </w:tc>
        <w:tc>
          <w:tcPr>
            <w:tcW w:w="5529" w:type="dxa"/>
            <w:shd w:val="clear" w:color="auto" w:fill="auto"/>
          </w:tcPr>
          <w:p w:rsidR="00C4122D" w:rsidRPr="00EA4E25" w:rsidRDefault="00B96092" w:rsidP="00A77EAC">
            <w:pPr>
              <w:pStyle w:val="Heading3"/>
              <w:numPr>
                <w:ilvl w:val="0"/>
                <w:numId w:val="0"/>
              </w:numPr>
              <w:tabs>
                <w:tab w:val="clear" w:pos="851"/>
                <w:tab w:val="left" w:pos="1134"/>
              </w:tabs>
            </w:pPr>
            <w:r w:rsidRPr="00EA4E25">
              <w:t>Class of business</w:t>
            </w:r>
            <w:r w:rsidR="007C0755" w:rsidRPr="00EA4E25">
              <w:t xml:space="preserve"> d</w:t>
            </w:r>
            <w:r w:rsidR="00C4122D" w:rsidRPr="00EA4E25">
              <w:t>escription</w:t>
            </w:r>
          </w:p>
        </w:tc>
      </w:tr>
      <w:tr w:rsidR="00C4122D" w:rsidRPr="00EA4E25" w:rsidTr="00235165">
        <w:tc>
          <w:tcPr>
            <w:tcW w:w="2948" w:type="dxa"/>
            <w:shd w:val="clear" w:color="auto" w:fill="auto"/>
          </w:tcPr>
          <w:p w:rsidR="00C4122D" w:rsidRPr="00EA4E25" w:rsidRDefault="00C4122D" w:rsidP="00A77EAC">
            <w:pPr>
              <w:pStyle w:val="Heading3"/>
              <w:numPr>
                <w:ilvl w:val="0"/>
                <w:numId w:val="0"/>
              </w:numPr>
              <w:tabs>
                <w:tab w:val="clear" w:pos="851"/>
                <w:tab w:val="left" w:pos="1134"/>
              </w:tabs>
            </w:pPr>
            <w:r w:rsidRPr="00EA4E25">
              <w:t>OEGW</w:t>
            </w:r>
          </w:p>
        </w:tc>
        <w:tc>
          <w:tcPr>
            <w:tcW w:w="5529" w:type="dxa"/>
            <w:shd w:val="clear" w:color="auto" w:fill="auto"/>
          </w:tcPr>
          <w:p w:rsidR="00C4122D" w:rsidRPr="00EA4E25" w:rsidRDefault="00EC6A41" w:rsidP="00A77EAC">
            <w:pPr>
              <w:pStyle w:val="Heading3"/>
              <w:numPr>
                <w:ilvl w:val="0"/>
                <w:numId w:val="0"/>
              </w:numPr>
              <w:tabs>
                <w:tab w:val="clear" w:pos="851"/>
                <w:tab w:val="left" w:pos="1134"/>
              </w:tabs>
            </w:pPr>
            <w:r w:rsidRPr="00EA4E25">
              <w:t>Offshore</w:t>
            </w:r>
            <w:r w:rsidR="00C4122D" w:rsidRPr="00EA4E25">
              <w:t xml:space="preserve"> </w:t>
            </w:r>
            <w:r w:rsidRPr="00EA4E25">
              <w:t>Energy</w:t>
            </w:r>
            <w:r w:rsidR="00C4122D" w:rsidRPr="00EA4E25">
              <w:t xml:space="preserve"> GOM wind</w:t>
            </w:r>
          </w:p>
        </w:tc>
      </w:tr>
      <w:tr w:rsidR="00C4122D" w:rsidRPr="00EA4E25" w:rsidTr="00235165">
        <w:tc>
          <w:tcPr>
            <w:tcW w:w="2948" w:type="dxa"/>
            <w:shd w:val="clear" w:color="auto" w:fill="auto"/>
          </w:tcPr>
          <w:p w:rsidR="00C4122D" w:rsidRPr="00EA4E25" w:rsidRDefault="00C4122D" w:rsidP="00A77EAC">
            <w:pPr>
              <w:pStyle w:val="Heading3"/>
              <w:numPr>
                <w:ilvl w:val="0"/>
                <w:numId w:val="0"/>
              </w:numPr>
              <w:tabs>
                <w:tab w:val="clear" w:pos="851"/>
                <w:tab w:val="left" w:pos="1134"/>
              </w:tabs>
            </w:pPr>
            <w:r w:rsidRPr="00EA4E25">
              <w:t>OEXGW</w:t>
            </w:r>
          </w:p>
        </w:tc>
        <w:tc>
          <w:tcPr>
            <w:tcW w:w="5529" w:type="dxa"/>
            <w:shd w:val="clear" w:color="auto" w:fill="auto"/>
          </w:tcPr>
          <w:p w:rsidR="00C4122D" w:rsidRPr="00EA4E25" w:rsidRDefault="00EC6A41" w:rsidP="00A77EAC">
            <w:pPr>
              <w:pStyle w:val="Heading3"/>
              <w:numPr>
                <w:ilvl w:val="0"/>
                <w:numId w:val="0"/>
              </w:numPr>
              <w:tabs>
                <w:tab w:val="clear" w:pos="851"/>
                <w:tab w:val="left" w:pos="1134"/>
              </w:tabs>
            </w:pPr>
            <w:r w:rsidRPr="00EA4E25">
              <w:t>Offshore</w:t>
            </w:r>
            <w:r w:rsidR="00C4122D" w:rsidRPr="00EA4E25">
              <w:t xml:space="preserve"> </w:t>
            </w:r>
            <w:r w:rsidRPr="00EA4E25">
              <w:t>Energy</w:t>
            </w:r>
            <w:r w:rsidR="00C4122D" w:rsidRPr="00EA4E25">
              <w:t xml:space="preserve"> excluding GOM wind</w:t>
            </w:r>
          </w:p>
        </w:tc>
      </w:tr>
    </w:tbl>
    <w:p w:rsidR="00052539" w:rsidRPr="00EA4E25" w:rsidRDefault="00052539" w:rsidP="00882B13">
      <w:pPr>
        <w:pStyle w:val="Heading3"/>
        <w:numPr>
          <w:ilvl w:val="0"/>
          <w:numId w:val="0"/>
        </w:numPr>
        <w:tabs>
          <w:tab w:val="clear" w:pos="851"/>
          <w:tab w:val="left" w:pos="1134"/>
        </w:tabs>
      </w:pPr>
    </w:p>
    <w:p w:rsidR="00882B13" w:rsidRPr="00EA4E25" w:rsidRDefault="00882B13" w:rsidP="00882B13">
      <w:pPr>
        <w:pStyle w:val="Heading3"/>
        <w:numPr>
          <w:ilvl w:val="0"/>
          <w:numId w:val="0"/>
        </w:numPr>
        <w:tabs>
          <w:tab w:val="clear" w:pos="851"/>
          <w:tab w:val="left" w:pos="1134"/>
        </w:tabs>
      </w:pPr>
    </w:p>
    <w:p w:rsidR="00CC42C9" w:rsidRPr="00111F9B" w:rsidRDefault="00CC42C9" w:rsidP="008E26AA">
      <w:pPr>
        <w:pStyle w:val="Heading1"/>
        <w:tabs>
          <w:tab w:val="clear" w:pos="783"/>
          <w:tab w:val="left" w:pos="1134"/>
        </w:tabs>
        <w:ind w:left="1134" w:hanging="1134"/>
      </w:pPr>
      <w:bookmarkStart w:id="64" w:name="_Toc95271065"/>
      <w:bookmarkStart w:id="65" w:name="_Toc264275400"/>
      <w:bookmarkStart w:id="66" w:name="_Toc452126167"/>
      <w:bookmarkStart w:id="67" w:name="_Toc89825871"/>
      <w:bookmarkStart w:id="68" w:name="_Toc89826834"/>
      <w:r w:rsidRPr="00111F9B">
        <w:t>SBF051 RISK CODE MAPPING OF CLASSES OF BUSINESS</w:t>
      </w:r>
      <w:bookmarkEnd w:id="64"/>
      <w:bookmarkEnd w:id="65"/>
      <w:bookmarkEnd w:id="66"/>
      <w:r w:rsidR="001F2D9A" w:rsidRPr="00111F9B">
        <w:t xml:space="preserve"> </w:t>
      </w:r>
    </w:p>
    <w:p w:rsidR="00911DE6" w:rsidRPr="00111F9B" w:rsidRDefault="00911DE6" w:rsidP="00911DE6"/>
    <w:p w:rsidR="00CC42C9" w:rsidRPr="00111F9B" w:rsidRDefault="005771EA" w:rsidP="000C2C36">
      <w:pPr>
        <w:pStyle w:val="Heading2"/>
        <w:tabs>
          <w:tab w:val="num" w:pos="1134"/>
        </w:tabs>
        <w:ind w:left="0" w:firstLine="0"/>
      </w:pPr>
      <w:bookmarkStart w:id="69" w:name="_Toc89825866"/>
      <w:bookmarkStart w:id="70" w:name="_Toc89826830"/>
      <w:r w:rsidRPr="00111F9B">
        <w:t xml:space="preserve">       </w:t>
      </w:r>
      <w:r w:rsidR="00061345" w:rsidRPr="00111F9B">
        <w:tab/>
      </w:r>
      <w:r w:rsidR="00CC42C9" w:rsidRPr="00111F9B">
        <w:rPr>
          <w:sz w:val="24"/>
          <w:szCs w:val="24"/>
        </w:rPr>
        <w:t>Summary</w:t>
      </w:r>
      <w:bookmarkEnd w:id="69"/>
      <w:bookmarkEnd w:id="70"/>
    </w:p>
    <w:p w:rsidR="00CC42C9" w:rsidRPr="00111F9B" w:rsidRDefault="00391ED8" w:rsidP="005E7202">
      <w:pPr>
        <w:pStyle w:val="Heading3"/>
        <w:numPr>
          <w:ilvl w:val="0"/>
          <w:numId w:val="0"/>
        </w:numPr>
        <w:tabs>
          <w:tab w:val="clear" w:pos="851"/>
          <w:tab w:val="left" w:pos="1134"/>
          <w:tab w:val="left" w:pos="1170"/>
        </w:tabs>
        <w:ind w:left="1170" w:hanging="64"/>
      </w:pPr>
      <w:r w:rsidRPr="00111F9B">
        <w:tab/>
      </w:r>
      <w:r w:rsidR="00EC6A41" w:rsidRPr="00111F9B">
        <w:t xml:space="preserve">Distribution </w:t>
      </w:r>
      <w:r w:rsidR="004C3B91" w:rsidRPr="00111F9B">
        <w:t>channel</w:t>
      </w:r>
      <w:r w:rsidR="00304D64" w:rsidRPr="00111F9B">
        <w:t>, r</w:t>
      </w:r>
      <w:r w:rsidR="00CC42C9" w:rsidRPr="00111F9B">
        <w:t xml:space="preserve">isk code and currency mappings are required for each </w:t>
      </w:r>
      <w:r w:rsidR="00B96092" w:rsidRPr="00111F9B">
        <w:t>class of business</w:t>
      </w:r>
      <w:r w:rsidR="00CC42C9" w:rsidRPr="00111F9B">
        <w:t xml:space="preserve"> selected in the </w:t>
      </w:r>
      <w:r w:rsidR="00B96092" w:rsidRPr="00111F9B">
        <w:rPr>
          <w:rFonts w:cs="Arial"/>
        </w:rPr>
        <w:t xml:space="preserve">class of business </w:t>
      </w:r>
      <w:r w:rsidR="007C0755" w:rsidRPr="00111F9B">
        <w:t>d</w:t>
      </w:r>
      <w:r w:rsidR="00CC42C9" w:rsidRPr="00111F9B">
        <w:t>escription</w:t>
      </w:r>
      <w:r w:rsidR="00AF7AF7" w:rsidRPr="00111F9B">
        <w:t>s (SBF050)</w:t>
      </w:r>
      <w:r w:rsidR="00CC42C9" w:rsidRPr="00111F9B">
        <w:t xml:space="preserve"> for </w:t>
      </w:r>
      <w:r w:rsidR="00033873" w:rsidRPr="00111F9B">
        <w:t xml:space="preserve">the </w:t>
      </w:r>
      <w:r w:rsidR="006632E9" w:rsidRPr="00111F9B">
        <w:t>prospective</w:t>
      </w:r>
      <w:r w:rsidR="00CC42C9" w:rsidRPr="00111F9B">
        <w:t xml:space="preserve"> year of account</w:t>
      </w:r>
      <w:r w:rsidR="00BE5A06" w:rsidRPr="00111F9B">
        <w:t>.</w:t>
      </w:r>
    </w:p>
    <w:p w:rsidR="00BE5A06" w:rsidRPr="00EA4E25" w:rsidRDefault="00BE5A06" w:rsidP="005E7202">
      <w:pPr>
        <w:pStyle w:val="Heading3"/>
        <w:numPr>
          <w:ilvl w:val="0"/>
          <w:numId w:val="0"/>
        </w:numPr>
        <w:tabs>
          <w:tab w:val="clear" w:pos="851"/>
          <w:tab w:val="left" w:pos="1134"/>
        </w:tabs>
        <w:ind w:left="1170"/>
      </w:pPr>
      <w:r w:rsidRPr="00111F9B">
        <w:t>This form should be reported</w:t>
      </w:r>
      <w:r w:rsidRPr="00EA4E25">
        <w:t xml:space="preserve"> on a pure year of account at ultimate basis.</w:t>
      </w:r>
    </w:p>
    <w:p w:rsidR="00CC42C9" w:rsidRPr="00EA4E25" w:rsidRDefault="005771EA" w:rsidP="000C2C36">
      <w:pPr>
        <w:pStyle w:val="Heading2"/>
        <w:tabs>
          <w:tab w:val="num" w:pos="1134"/>
        </w:tabs>
        <w:ind w:left="0" w:firstLine="0"/>
      </w:pPr>
      <w:bookmarkStart w:id="71" w:name="_Toc89825867"/>
      <w:bookmarkStart w:id="72" w:name="_Toc89826831"/>
      <w:r w:rsidRPr="00EA4E25">
        <w:t xml:space="preserve">       </w:t>
      </w:r>
      <w:r w:rsidR="00061345" w:rsidRPr="00EA4E25">
        <w:tab/>
      </w:r>
      <w:r w:rsidR="00CC42C9" w:rsidRPr="00EA4E25">
        <w:rPr>
          <w:sz w:val="24"/>
          <w:szCs w:val="24"/>
        </w:rPr>
        <w:t>Key Points</w:t>
      </w:r>
      <w:bookmarkEnd w:id="71"/>
      <w:bookmarkEnd w:id="72"/>
    </w:p>
    <w:p w:rsidR="00BE5A06" w:rsidRPr="006442F4" w:rsidRDefault="00BE5A06" w:rsidP="003D560C">
      <w:pPr>
        <w:pStyle w:val="Heading3"/>
        <w:tabs>
          <w:tab w:val="clear" w:pos="851"/>
          <w:tab w:val="num" w:pos="1134"/>
        </w:tabs>
        <w:ind w:left="1134" w:hanging="1134"/>
      </w:pPr>
      <w:r w:rsidRPr="00EA4E25">
        <w:t xml:space="preserve">Managing agents will be required to complete the risk code mapping of classes of business for </w:t>
      </w:r>
      <w:r w:rsidRPr="006442F4">
        <w:t xml:space="preserve">each Lloyd’s </w:t>
      </w:r>
      <w:r w:rsidR="001D4EBB" w:rsidRPr="006442F4">
        <w:t>distribution channel</w:t>
      </w:r>
      <w:r w:rsidRPr="006442F4">
        <w:t xml:space="preserve"> selected in form SBF051.</w:t>
      </w:r>
      <w:r w:rsidR="00022E35" w:rsidRPr="006442F4">
        <w:t xml:space="preserve"> </w:t>
      </w:r>
      <w:r w:rsidR="004C3B91" w:rsidRPr="006442F4">
        <w:t>Channel</w:t>
      </w:r>
      <w:r w:rsidR="00022E35" w:rsidRPr="006442F4">
        <w:t>s available are London, Asia, Japan, China Direct</w:t>
      </w:r>
      <w:r w:rsidR="00C22459" w:rsidRPr="006442F4">
        <w:t xml:space="preserve">, </w:t>
      </w:r>
      <w:r w:rsidR="00022E35" w:rsidRPr="006442F4">
        <w:t>China Reinsurance</w:t>
      </w:r>
      <w:r w:rsidR="00DA6A77" w:rsidRPr="006442F4">
        <w:t>,</w:t>
      </w:r>
      <w:r w:rsidR="00684F4C" w:rsidRPr="006442F4">
        <w:t xml:space="preserve"> </w:t>
      </w:r>
      <w:r w:rsidR="00C22459" w:rsidRPr="006442F4">
        <w:t>Dubai</w:t>
      </w:r>
      <w:r w:rsidR="00DA6A77" w:rsidRPr="006442F4">
        <w:t xml:space="preserve"> and Europe</w:t>
      </w:r>
      <w:r w:rsidR="00022E35" w:rsidRPr="006442F4">
        <w:t xml:space="preserve">. Syndicates are expected to provide a split of their business by distribution </w:t>
      </w:r>
      <w:r w:rsidR="004C3B91" w:rsidRPr="006442F4">
        <w:t>channel</w:t>
      </w:r>
      <w:r w:rsidR="00022E35" w:rsidRPr="006442F4">
        <w:t xml:space="preserve"> on this form and this will be used to drive the completion of distribution </w:t>
      </w:r>
      <w:r w:rsidR="004C3B91" w:rsidRPr="006442F4">
        <w:t>channel</w:t>
      </w:r>
      <w:r w:rsidR="003930D9" w:rsidRPr="006442F4">
        <w:t xml:space="preserve"> level data on SBF</w:t>
      </w:r>
      <w:r w:rsidR="00731742" w:rsidRPr="006442F4">
        <w:t>100 and SBF</w:t>
      </w:r>
      <w:r w:rsidR="00022E35" w:rsidRPr="006442F4">
        <w:t xml:space="preserve">105. </w:t>
      </w:r>
      <w:bookmarkStart w:id="73" w:name="Eva_REVIEW1"/>
      <w:r w:rsidR="001D4EBB" w:rsidRPr="006442F4">
        <w:t>A table detailing permitted risk codes by distribution channel has been provided for ease of reference by Overseas Syndicate Bus</w:t>
      </w:r>
      <w:r w:rsidR="00033FA1" w:rsidRPr="006442F4">
        <w:t>iness Performance:</w:t>
      </w:r>
      <w:r w:rsidR="001D4EBB" w:rsidRPr="006442F4">
        <w:t xml:space="preserve"> </w:t>
      </w:r>
    </w:p>
    <w:bookmarkEnd w:id="73"/>
    <w:bookmarkStart w:id="74" w:name="_MON_1624115143"/>
    <w:bookmarkEnd w:id="74"/>
    <w:p w:rsidR="00684F4C" w:rsidRPr="00EA4E25" w:rsidRDefault="00BA7A1C" w:rsidP="00100448">
      <w:pPr>
        <w:pStyle w:val="Heading3"/>
        <w:numPr>
          <w:ilvl w:val="0"/>
          <w:numId w:val="0"/>
        </w:numPr>
        <w:tabs>
          <w:tab w:val="clear" w:pos="851"/>
        </w:tabs>
        <w:ind w:left="1134"/>
      </w:pPr>
      <w:r>
        <w:object w:dxaOrig="1504" w:dyaOrig="982" w14:anchorId="1C1DA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o:ole="">
            <v:imagedata r:id="rId21" o:title=""/>
          </v:shape>
          <o:OLEObject Type="Embed" ProgID="Excel.Sheet.8" ShapeID="_x0000_i1025" DrawAspect="Icon" ObjectID="_1628599253" r:id="rId22"/>
        </w:object>
      </w:r>
    </w:p>
    <w:p w:rsidR="00C4122D" w:rsidRPr="00EA4E25" w:rsidRDefault="00BE5A06" w:rsidP="00684F4C">
      <w:pPr>
        <w:pStyle w:val="Heading3"/>
        <w:tabs>
          <w:tab w:val="clear" w:pos="851"/>
          <w:tab w:val="num" w:pos="1134"/>
        </w:tabs>
        <w:ind w:left="1134" w:hanging="1134"/>
      </w:pPr>
      <w:r w:rsidRPr="00EA4E25">
        <w:t>E</w:t>
      </w:r>
      <w:r w:rsidR="00CC42C9" w:rsidRPr="00EA4E25">
        <w:t xml:space="preserve">ach </w:t>
      </w:r>
      <w:r w:rsidR="00B96092" w:rsidRPr="00EA4E25">
        <w:t>class of business</w:t>
      </w:r>
      <w:r w:rsidR="00CC42C9" w:rsidRPr="00EA4E25">
        <w:t xml:space="preserve"> should be broken down to </w:t>
      </w:r>
      <w:r w:rsidR="00304D64" w:rsidRPr="00EA4E25">
        <w:t xml:space="preserve">individual </w:t>
      </w:r>
      <w:r w:rsidR="00CC42C9" w:rsidRPr="00EA4E25">
        <w:t xml:space="preserve">risk codes and each risk code split between </w:t>
      </w:r>
      <w:r w:rsidR="00304D64" w:rsidRPr="00EA4E25">
        <w:t>the available currencies (</w:t>
      </w:r>
      <w:r w:rsidR="00CC42C9" w:rsidRPr="00EA4E25">
        <w:t>GBP</w:t>
      </w:r>
      <w:r w:rsidR="00304D64" w:rsidRPr="00EA4E25">
        <w:t>,</w:t>
      </w:r>
      <w:r w:rsidR="00CC42C9" w:rsidRPr="00EA4E25">
        <w:t xml:space="preserve"> USD</w:t>
      </w:r>
      <w:r w:rsidR="00304D64" w:rsidRPr="00EA4E25">
        <w:t>,</w:t>
      </w:r>
      <w:r w:rsidR="007C0755" w:rsidRPr="00EA4E25">
        <w:t xml:space="preserve"> </w:t>
      </w:r>
      <w:r w:rsidR="00304D64" w:rsidRPr="00EA4E25">
        <w:t>CAD,</w:t>
      </w:r>
      <w:r w:rsidR="007C0755" w:rsidRPr="00EA4E25">
        <w:t xml:space="preserve"> </w:t>
      </w:r>
      <w:r w:rsidR="00304D64" w:rsidRPr="00EA4E25">
        <w:t>EUR,</w:t>
      </w:r>
      <w:r w:rsidR="007C0755" w:rsidRPr="00EA4E25">
        <w:t xml:space="preserve"> </w:t>
      </w:r>
      <w:r w:rsidR="00304D64" w:rsidRPr="00EA4E25">
        <w:t>AUD and OTH)</w:t>
      </w:r>
      <w:r w:rsidR="00CC42C9" w:rsidRPr="00EA4E25">
        <w:t>. All premiums written in currencies other than GBP, USD,</w:t>
      </w:r>
      <w:r w:rsidR="00304D64" w:rsidRPr="00EA4E25">
        <w:t xml:space="preserve"> CAD, EUR and AUD</w:t>
      </w:r>
      <w:r w:rsidR="00CC42C9" w:rsidRPr="00EA4E25">
        <w:t xml:space="preserve"> should be converted to GBP</w:t>
      </w:r>
      <w:r w:rsidR="00EC6A41" w:rsidRPr="00EA4E25">
        <w:t xml:space="preserve"> at the rates indicated in SBF020</w:t>
      </w:r>
      <w:r w:rsidR="00CC42C9" w:rsidRPr="00EA4E25">
        <w:t xml:space="preserve"> and included in the </w:t>
      </w:r>
      <w:r w:rsidR="00304D64" w:rsidRPr="00EA4E25">
        <w:t xml:space="preserve">OTH </w:t>
      </w:r>
      <w:r w:rsidR="00CC42C9" w:rsidRPr="00EA4E25">
        <w:t>field.</w:t>
      </w:r>
      <w:r w:rsidR="00BB1C21" w:rsidRPr="00EA4E25">
        <w:t xml:space="preserve"> Note that </w:t>
      </w:r>
      <w:r w:rsidR="00307551" w:rsidRPr="00EA4E25">
        <w:t xml:space="preserve">the </w:t>
      </w:r>
      <w:r w:rsidR="00BB1C21" w:rsidRPr="00EA4E25">
        <w:t>GBP component is the pure sterling amount not the aggregate non</w:t>
      </w:r>
      <w:r w:rsidR="00F47CD3">
        <w:t>-</w:t>
      </w:r>
      <w:r w:rsidR="00BB1C21" w:rsidRPr="00EA4E25">
        <w:t>US dollar amount as</w:t>
      </w:r>
      <w:r w:rsidR="00307551" w:rsidRPr="00EA4E25">
        <w:t xml:space="preserve"> </w:t>
      </w:r>
      <w:r w:rsidR="00BB1C21" w:rsidRPr="00EA4E25">
        <w:t>in previous version of SBF</w:t>
      </w:r>
      <w:r w:rsidR="00D14AC6">
        <w:t>0</w:t>
      </w:r>
      <w:r w:rsidR="00BB1C21" w:rsidRPr="00EA4E25">
        <w:t>51.</w:t>
      </w:r>
    </w:p>
    <w:p w:rsidR="00CC42C9" w:rsidRPr="00EA4E25" w:rsidRDefault="00CC42C9" w:rsidP="003D560C">
      <w:pPr>
        <w:pStyle w:val="Heading3"/>
        <w:tabs>
          <w:tab w:val="clear" w:pos="851"/>
          <w:tab w:val="num" w:pos="1134"/>
        </w:tabs>
        <w:ind w:left="1134" w:hanging="1134"/>
      </w:pPr>
      <w:r w:rsidRPr="00EA4E25">
        <w:t xml:space="preserve">The percentage split should be based on the </w:t>
      </w:r>
      <w:r w:rsidR="00B96092" w:rsidRPr="00EA4E25">
        <w:t>gross written premium</w:t>
      </w:r>
      <w:r w:rsidRPr="00EA4E25">
        <w:t xml:space="preserve">s for that individual </w:t>
      </w:r>
      <w:r w:rsidR="00B96092" w:rsidRPr="00EA4E25">
        <w:t>class of business</w:t>
      </w:r>
      <w:r w:rsidRPr="00EA4E25">
        <w:t>.</w:t>
      </w:r>
    </w:p>
    <w:p w:rsidR="00911DE6" w:rsidRPr="00EA4E25" w:rsidRDefault="00C4122D" w:rsidP="003D560C">
      <w:pPr>
        <w:pStyle w:val="Heading3"/>
        <w:tabs>
          <w:tab w:val="clear" w:pos="851"/>
          <w:tab w:val="num" w:pos="1134"/>
        </w:tabs>
        <w:ind w:left="1134" w:hanging="1134"/>
      </w:pPr>
      <w:r w:rsidRPr="00EA4E25">
        <w:t>As part of the planning</w:t>
      </w:r>
      <w:r w:rsidR="0003427B" w:rsidRPr="00EA4E25">
        <w:t xml:space="preserve"> </w:t>
      </w:r>
      <w:r w:rsidRPr="00EA4E25">
        <w:t>process,</w:t>
      </w:r>
      <w:r w:rsidR="0003427B" w:rsidRPr="00EA4E25">
        <w:t xml:space="preserve"> </w:t>
      </w:r>
      <w:r w:rsidR="000325D0" w:rsidRPr="00EA4E25">
        <w:t>m</w:t>
      </w:r>
      <w:r w:rsidRPr="00EA4E25">
        <w:t xml:space="preserve">anaging </w:t>
      </w:r>
      <w:r w:rsidR="000325D0" w:rsidRPr="00EA4E25">
        <w:t>a</w:t>
      </w:r>
      <w:r w:rsidRPr="00EA4E25">
        <w:t xml:space="preserve">gents are expected to </w:t>
      </w:r>
      <w:r w:rsidR="00CC6A27" w:rsidRPr="00EA4E25">
        <w:t xml:space="preserve">complete the form </w:t>
      </w:r>
      <w:r w:rsidR="0007353D" w:rsidRPr="00EA4E25">
        <w:t xml:space="preserve">SBF051 </w:t>
      </w:r>
      <w:r w:rsidR="00CC6A27" w:rsidRPr="00EA4E25">
        <w:t xml:space="preserve">following an accurate assessment of their current </w:t>
      </w:r>
      <w:r w:rsidRPr="00EA4E25">
        <w:t>portfolio</w:t>
      </w:r>
      <w:r w:rsidR="00CC6A27" w:rsidRPr="00EA4E25">
        <w:t xml:space="preserve">’s risk codes split. Lloyd’s will monitor written premium through </w:t>
      </w:r>
      <w:r w:rsidR="00307551" w:rsidRPr="00EA4E25">
        <w:t xml:space="preserve">the </w:t>
      </w:r>
      <w:r w:rsidR="003021E6" w:rsidRPr="00EA4E25">
        <w:t>PMDR</w:t>
      </w:r>
      <w:r w:rsidR="00CC6A27" w:rsidRPr="00EA4E25">
        <w:t xml:space="preserve"> and material variances will </w:t>
      </w:r>
      <w:r w:rsidR="007C0755" w:rsidRPr="00EA4E25">
        <w:t xml:space="preserve">need to </w:t>
      </w:r>
      <w:r w:rsidR="00CC6A27" w:rsidRPr="00EA4E25">
        <w:t>be discussed</w:t>
      </w:r>
      <w:r w:rsidR="0007353D" w:rsidRPr="00EA4E25">
        <w:t>.</w:t>
      </w:r>
      <w:r w:rsidR="00CC6A27" w:rsidRPr="00EA4E25">
        <w:t xml:space="preserve"> </w:t>
      </w:r>
    </w:p>
    <w:p w:rsidR="00C22459" w:rsidRPr="00EA4E25" w:rsidRDefault="003F2ABB" w:rsidP="003D560C">
      <w:pPr>
        <w:pStyle w:val="Heading3"/>
        <w:tabs>
          <w:tab w:val="clear" w:pos="851"/>
          <w:tab w:val="num" w:pos="1134"/>
        </w:tabs>
        <w:ind w:left="1134" w:hanging="1134"/>
      </w:pPr>
      <w:r w:rsidRPr="00EA4E25">
        <w:t xml:space="preserve">The sum of </w:t>
      </w:r>
      <w:r w:rsidR="005F2C64" w:rsidRPr="00EA4E25">
        <w:t xml:space="preserve">the percentage splits per </w:t>
      </w:r>
      <w:r w:rsidR="00B96092" w:rsidRPr="00EA4E25">
        <w:rPr>
          <w:rFonts w:cs="Arial"/>
        </w:rPr>
        <w:t>class of business</w:t>
      </w:r>
      <w:r w:rsidR="005F2C64" w:rsidRPr="00EA4E25">
        <w:t xml:space="preserve">/distribution </w:t>
      </w:r>
      <w:r w:rsidR="004C3B91" w:rsidRPr="00EA4E25">
        <w:t>channel</w:t>
      </w:r>
      <w:r w:rsidRPr="00EA4E25">
        <w:t xml:space="preserve"> must be 100%. </w:t>
      </w:r>
      <w:r w:rsidR="000C7AAC" w:rsidRPr="00EA4E25">
        <w:t xml:space="preserve">This is validated in the </w:t>
      </w:r>
      <w:r w:rsidR="002711B0">
        <w:t>MDC</w:t>
      </w:r>
      <w:r w:rsidR="000C7AAC" w:rsidRPr="00EA4E25">
        <w:t xml:space="preserve"> and submissions are rejected if the split does not sum to 100%.</w:t>
      </w:r>
      <w:r w:rsidR="006744E2" w:rsidRPr="00EA4E25">
        <w:t xml:space="preserve"> </w:t>
      </w:r>
      <w:r w:rsidRPr="00EA4E25">
        <w:t xml:space="preserve">All </w:t>
      </w:r>
      <w:r w:rsidR="007C0755" w:rsidRPr="00EA4E25">
        <w:t>c</w:t>
      </w:r>
      <w:r w:rsidR="00B96092" w:rsidRPr="00EA4E25">
        <w:t>lasses of business</w:t>
      </w:r>
      <w:r w:rsidRPr="00EA4E25">
        <w:t xml:space="preserve"> selected in SBF050 must have a valid risk code mapping.</w:t>
      </w:r>
    </w:p>
    <w:p w:rsidR="00D00774" w:rsidRPr="00EA4E25" w:rsidRDefault="00002791" w:rsidP="003D560C">
      <w:pPr>
        <w:pStyle w:val="Heading3"/>
        <w:tabs>
          <w:tab w:val="clear" w:pos="851"/>
          <w:tab w:val="num" w:pos="1134"/>
        </w:tabs>
        <w:ind w:left="1134" w:hanging="1134"/>
      </w:pPr>
      <w:r w:rsidRPr="00EA4E25">
        <w:t xml:space="preserve">Valid Risk Codes should be used for the prospective year. </w:t>
      </w:r>
      <w:r w:rsidR="007C0755" w:rsidRPr="00EA4E25">
        <w:t>A current</w:t>
      </w:r>
      <w:r w:rsidRPr="00EA4E25">
        <w:t xml:space="preserve"> list</w:t>
      </w:r>
      <w:r w:rsidR="007C0755" w:rsidRPr="00EA4E25">
        <w:t xml:space="preserve"> of Risk Codes can be</w:t>
      </w:r>
      <w:r w:rsidR="0003427B" w:rsidRPr="00EA4E25">
        <w:t xml:space="preserve"> </w:t>
      </w:r>
      <w:r w:rsidR="00D00774" w:rsidRPr="00EA4E25">
        <w:t>found on:</w:t>
      </w:r>
    </w:p>
    <w:p w:rsidR="004C3C01" w:rsidRPr="00EA4E25" w:rsidRDefault="00CA3299" w:rsidP="00D00774">
      <w:pPr>
        <w:pStyle w:val="Heading3"/>
        <w:numPr>
          <w:ilvl w:val="0"/>
          <w:numId w:val="0"/>
        </w:numPr>
        <w:tabs>
          <w:tab w:val="clear" w:pos="851"/>
        </w:tabs>
        <w:ind w:left="1134"/>
        <w:rPr>
          <w:rStyle w:val="Hyperlink"/>
          <w:color w:val="000000"/>
          <w:u w:val="none"/>
        </w:rPr>
      </w:pPr>
      <w:hyperlink r:id="rId23" w:history="1">
        <w:r w:rsidR="00097A3E" w:rsidRPr="00EA4E25">
          <w:rPr>
            <w:rStyle w:val="Hyperlink"/>
          </w:rPr>
          <w:t>http://www.lloyds.com/the-market/operating-at-lloyds/resources/risk_codes</w:t>
        </w:r>
      </w:hyperlink>
      <w:r w:rsidR="004C3C01" w:rsidRPr="00EA4E25">
        <w:rPr>
          <w:rStyle w:val="Hyperlink"/>
        </w:rPr>
        <w:t xml:space="preserve">. </w:t>
      </w:r>
    </w:p>
    <w:p w:rsidR="00097A3E" w:rsidRPr="00EA4E25" w:rsidRDefault="004C3C01" w:rsidP="003D560C">
      <w:pPr>
        <w:pStyle w:val="Heading3"/>
        <w:tabs>
          <w:tab w:val="clear" w:pos="851"/>
          <w:tab w:val="num" w:pos="1134"/>
        </w:tabs>
        <w:ind w:left="1134" w:hanging="1134"/>
      </w:pPr>
      <w:r w:rsidRPr="00EA4E25">
        <w:rPr>
          <w:color w:val="auto"/>
        </w:rPr>
        <w:t>It should be noted that two prescribed class of business codes should be used to identify Offshore Energy business OEGW and OEXGW</w:t>
      </w:r>
    </w:p>
    <w:p w:rsidR="00083F8A" w:rsidRPr="00EA4E25" w:rsidRDefault="00560415" w:rsidP="003D560C">
      <w:pPr>
        <w:pStyle w:val="Heading3"/>
        <w:tabs>
          <w:tab w:val="clear" w:pos="851"/>
          <w:tab w:val="num" w:pos="1134"/>
        </w:tabs>
        <w:ind w:left="1134" w:hanging="1134"/>
        <w:rPr>
          <w:color w:val="auto"/>
        </w:rPr>
      </w:pPr>
      <w:r w:rsidRPr="00EA4E25">
        <w:rPr>
          <w:color w:val="auto"/>
        </w:rPr>
        <w:t xml:space="preserve">These classes of business </w:t>
      </w:r>
      <w:r w:rsidR="00E17417" w:rsidRPr="00EA4E25">
        <w:rPr>
          <w:color w:val="auto"/>
        </w:rPr>
        <w:t xml:space="preserve">have a narrowly defined </w:t>
      </w:r>
      <w:r w:rsidR="001F6394" w:rsidRPr="00EA4E25">
        <w:rPr>
          <w:color w:val="auto"/>
        </w:rPr>
        <w:t xml:space="preserve">core set of risk codes </w:t>
      </w:r>
      <w:r w:rsidRPr="00EA4E25">
        <w:rPr>
          <w:color w:val="auto"/>
        </w:rPr>
        <w:t>shown below</w:t>
      </w:r>
      <w:r w:rsidR="00E17417" w:rsidRPr="00EA4E25">
        <w:rPr>
          <w:color w:val="auto"/>
        </w:rPr>
        <w:t xml:space="preserve"> in the SBF</w:t>
      </w:r>
      <w:r w:rsidR="00D14AC6">
        <w:rPr>
          <w:color w:val="auto"/>
        </w:rPr>
        <w:t>0</w:t>
      </w:r>
      <w:r w:rsidR="00E17417" w:rsidRPr="00EA4E25">
        <w:rPr>
          <w:color w:val="auto"/>
        </w:rPr>
        <w:t>51</w:t>
      </w:r>
      <w:r w:rsidR="001F6394" w:rsidRPr="00EA4E25">
        <w:rPr>
          <w:color w:val="auto"/>
        </w:rPr>
        <w:t xml:space="preserve">. </w:t>
      </w:r>
      <w:r w:rsidR="00083F8A" w:rsidRPr="00EA4E25" w:rsidDel="003A3829">
        <w:rPr>
          <w:color w:val="auto"/>
        </w:rPr>
        <w:t>Any SBF Return that fails to use the prescribed class of business codes will be rejected and a new submission will be required to rectify the errors.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64"/>
        <w:gridCol w:w="3451"/>
      </w:tblGrid>
      <w:tr w:rsidR="00560415" w:rsidRPr="00EA4E25" w:rsidTr="00235165">
        <w:tc>
          <w:tcPr>
            <w:tcW w:w="1985" w:type="dxa"/>
            <w:shd w:val="clear" w:color="auto" w:fill="auto"/>
          </w:tcPr>
          <w:p w:rsidR="00560415" w:rsidRPr="00235165" w:rsidRDefault="00B96092" w:rsidP="00235165">
            <w:pPr>
              <w:rPr>
                <w:i/>
              </w:rPr>
            </w:pPr>
            <w:r w:rsidRPr="00235165">
              <w:rPr>
                <w:i/>
              </w:rPr>
              <w:t>Class of business</w:t>
            </w:r>
            <w:r w:rsidR="00560415" w:rsidRPr="00235165">
              <w:rPr>
                <w:i/>
              </w:rPr>
              <w:t xml:space="preserve"> Code</w:t>
            </w:r>
            <w:r w:rsidR="00F47CD3">
              <w:rPr>
                <w:i/>
              </w:rPr>
              <w:t>:</w:t>
            </w:r>
          </w:p>
        </w:tc>
        <w:tc>
          <w:tcPr>
            <w:tcW w:w="3064" w:type="dxa"/>
            <w:shd w:val="clear" w:color="auto" w:fill="auto"/>
          </w:tcPr>
          <w:p w:rsidR="00560415" w:rsidRPr="00235165" w:rsidRDefault="00B96092" w:rsidP="00235165">
            <w:pPr>
              <w:rPr>
                <w:i/>
              </w:rPr>
            </w:pPr>
            <w:r w:rsidRPr="00235165">
              <w:rPr>
                <w:i/>
              </w:rPr>
              <w:t>Class of business</w:t>
            </w:r>
            <w:r w:rsidR="00560415" w:rsidRPr="00235165">
              <w:rPr>
                <w:i/>
              </w:rPr>
              <w:t xml:space="preserve"> </w:t>
            </w:r>
            <w:r w:rsidR="007C0755" w:rsidRPr="00235165">
              <w:rPr>
                <w:i/>
              </w:rPr>
              <w:t>d</w:t>
            </w:r>
            <w:r w:rsidR="00560415" w:rsidRPr="00235165">
              <w:rPr>
                <w:i/>
              </w:rPr>
              <w:t>escription</w:t>
            </w:r>
            <w:r w:rsidR="00F47CD3">
              <w:rPr>
                <w:i/>
              </w:rPr>
              <w:t>:</w:t>
            </w:r>
          </w:p>
        </w:tc>
        <w:tc>
          <w:tcPr>
            <w:tcW w:w="3451" w:type="dxa"/>
            <w:shd w:val="clear" w:color="auto" w:fill="auto"/>
          </w:tcPr>
          <w:p w:rsidR="00560415" w:rsidRPr="00235165" w:rsidRDefault="001F6394" w:rsidP="00235165">
            <w:pPr>
              <w:rPr>
                <w:i/>
              </w:rPr>
            </w:pPr>
            <w:r w:rsidRPr="00235165">
              <w:rPr>
                <w:i/>
              </w:rPr>
              <w:t xml:space="preserve">Core set of </w:t>
            </w:r>
            <w:r w:rsidR="00560415" w:rsidRPr="00235165">
              <w:rPr>
                <w:i/>
              </w:rPr>
              <w:t>Risk C</w:t>
            </w:r>
            <w:r w:rsidR="007C0755" w:rsidRPr="00235165">
              <w:rPr>
                <w:i/>
              </w:rPr>
              <w:t>odes a</w:t>
            </w:r>
            <w:r w:rsidR="00560415" w:rsidRPr="00235165">
              <w:rPr>
                <w:i/>
              </w:rPr>
              <w:t>llowed</w:t>
            </w:r>
            <w:r w:rsidR="00E17417" w:rsidRPr="00235165">
              <w:rPr>
                <w:i/>
              </w:rPr>
              <w:t xml:space="preserve"> for Class</w:t>
            </w:r>
            <w:r w:rsidR="00F47CD3">
              <w:rPr>
                <w:i/>
              </w:rPr>
              <w:t>:</w:t>
            </w:r>
          </w:p>
        </w:tc>
      </w:tr>
      <w:tr w:rsidR="00560415" w:rsidRPr="00EA4E25" w:rsidTr="00235165">
        <w:tc>
          <w:tcPr>
            <w:tcW w:w="1985" w:type="dxa"/>
            <w:shd w:val="clear" w:color="auto" w:fill="auto"/>
          </w:tcPr>
          <w:p w:rsidR="00560415" w:rsidRPr="00EA4E25" w:rsidRDefault="00560415" w:rsidP="00A77EAC">
            <w:pPr>
              <w:pStyle w:val="Heading3"/>
              <w:numPr>
                <w:ilvl w:val="0"/>
                <w:numId w:val="0"/>
              </w:numPr>
              <w:tabs>
                <w:tab w:val="clear" w:pos="851"/>
                <w:tab w:val="left" w:pos="1134"/>
              </w:tabs>
              <w:rPr>
                <w:i/>
              </w:rPr>
            </w:pPr>
            <w:r w:rsidRPr="00EA4E25">
              <w:rPr>
                <w:i/>
              </w:rPr>
              <w:t>OEGW</w:t>
            </w:r>
          </w:p>
        </w:tc>
        <w:tc>
          <w:tcPr>
            <w:tcW w:w="3064" w:type="dxa"/>
            <w:shd w:val="clear" w:color="auto" w:fill="auto"/>
          </w:tcPr>
          <w:p w:rsidR="00560415" w:rsidRPr="00EA4E25" w:rsidRDefault="00EC6A41" w:rsidP="00A77EAC">
            <w:pPr>
              <w:pStyle w:val="Heading3"/>
              <w:numPr>
                <w:ilvl w:val="0"/>
                <w:numId w:val="0"/>
              </w:numPr>
              <w:tabs>
                <w:tab w:val="clear" w:pos="851"/>
                <w:tab w:val="left" w:pos="1134"/>
              </w:tabs>
              <w:rPr>
                <w:i/>
              </w:rPr>
            </w:pPr>
            <w:r w:rsidRPr="00EA4E25">
              <w:rPr>
                <w:i/>
              </w:rPr>
              <w:t>Offshore</w:t>
            </w:r>
            <w:r w:rsidR="00560415" w:rsidRPr="00EA4E25">
              <w:rPr>
                <w:i/>
              </w:rPr>
              <w:t xml:space="preserve"> </w:t>
            </w:r>
            <w:r w:rsidRPr="00EA4E25">
              <w:rPr>
                <w:i/>
              </w:rPr>
              <w:t>Energy</w:t>
            </w:r>
            <w:r w:rsidR="00560415" w:rsidRPr="00EA4E25">
              <w:rPr>
                <w:i/>
              </w:rPr>
              <w:t xml:space="preserve"> GOM wind</w:t>
            </w:r>
          </w:p>
        </w:tc>
        <w:tc>
          <w:tcPr>
            <w:tcW w:w="3451" w:type="dxa"/>
            <w:shd w:val="clear" w:color="auto" w:fill="auto"/>
          </w:tcPr>
          <w:p w:rsidR="00560415" w:rsidRPr="00EA4E25" w:rsidRDefault="00560415" w:rsidP="00A77EAC">
            <w:pPr>
              <w:pStyle w:val="Heading3"/>
              <w:numPr>
                <w:ilvl w:val="0"/>
                <w:numId w:val="0"/>
              </w:numPr>
              <w:tabs>
                <w:tab w:val="clear" w:pos="851"/>
                <w:tab w:val="left" w:pos="1134"/>
              </w:tabs>
              <w:rPr>
                <w:i/>
              </w:rPr>
            </w:pPr>
            <w:r w:rsidRPr="00EA4E25">
              <w:rPr>
                <w:i/>
              </w:rPr>
              <w:t>EH, EG, EC, XE, EM and EY</w:t>
            </w:r>
          </w:p>
        </w:tc>
      </w:tr>
      <w:tr w:rsidR="00560415" w:rsidRPr="00EA4E25" w:rsidTr="00235165">
        <w:tc>
          <w:tcPr>
            <w:tcW w:w="1985" w:type="dxa"/>
            <w:shd w:val="clear" w:color="auto" w:fill="auto"/>
          </w:tcPr>
          <w:p w:rsidR="00560415" w:rsidRPr="00EA4E25" w:rsidRDefault="00560415" w:rsidP="00A77EAC">
            <w:pPr>
              <w:pStyle w:val="Heading3"/>
              <w:numPr>
                <w:ilvl w:val="0"/>
                <w:numId w:val="0"/>
              </w:numPr>
              <w:tabs>
                <w:tab w:val="clear" w:pos="851"/>
                <w:tab w:val="left" w:pos="1134"/>
              </w:tabs>
              <w:rPr>
                <w:i/>
              </w:rPr>
            </w:pPr>
            <w:r w:rsidRPr="00EA4E25">
              <w:rPr>
                <w:i/>
              </w:rPr>
              <w:t>OEXGW</w:t>
            </w:r>
          </w:p>
        </w:tc>
        <w:tc>
          <w:tcPr>
            <w:tcW w:w="3064" w:type="dxa"/>
            <w:shd w:val="clear" w:color="auto" w:fill="auto"/>
          </w:tcPr>
          <w:p w:rsidR="00560415" w:rsidRPr="00EA4E25" w:rsidRDefault="00EC6A41" w:rsidP="00A77EAC">
            <w:pPr>
              <w:pStyle w:val="Heading3"/>
              <w:numPr>
                <w:ilvl w:val="0"/>
                <w:numId w:val="0"/>
              </w:numPr>
              <w:tabs>
                <w:tab w:val="clear" w:pos="851"/>
                <w:tab w:val="left" w:pos="1134"/>
              </w:tabs>
              <w:rPr>
                <w:i/>
              </w:rPr>
            </w:pPr>
            <w:r w:rsidRPr="00EA4E25">
              <w:rPr>
                <w:i/>
              </w:rPr>
              <w:t>Offshore</w:t>
            </w:r>
            <w:r w:rsidR="00560415" w:rsidRPr="00EA4E25">
              <w:rPr>
                <w:i/>
              </w:rPr>
              <w:t xml:space="preserve"> </w:t>
            </w:r>
            <w:r w:rsidRPr="00EA4E25">
              <w:rPr>
                <w:i/>
              </w:rPr>
              <w:t>Energy</w:t>
            </w:r>
            <w:r w:rsidR="00560415" w:rsidRPr="00EA4E25">
              <w:rPr>
                <w:i/>
              </w:rPr>
              <w:t xml:space="preserve"> excluding GOM wind</w:t>
            </w:r>
          </w:p>
        </w:tc>
        <w:tc>
          <w:tcPr>
            <w:tcW w:w="3451" w:type="dxa"/>
            <w:shd w:val="clear" w:color="auto" w:fill="auto"/>
          </w:tcPr>
          <w:p w:rsidR="00560415" w:rsidRPr="00EA4E25" w:rsidRDefault="001A4359" w:rsidP="00A77EAC">
            <w:pPr>
              <w:pStyle w:val="Heading3"/>
              <w:numPr>
                <w:ilvl w:val="0"/>
                <w:numId w:val="0"/>
              </w:numPr>
              <w:tabs>
                <w:tab w:val="clear" w:pos="851"/>
                <w:tab w:val="left" w:pos="1134"/>
              </w:tabs>
              <w:rPr>
                <w:i/>
                <w:lang w:val="fr-FR"/>
              </w:rPr>
            </w:pPr>
            <w:r w:rsidRPr="00EA4E25">
              <w:rPr>
                <w:i/>
                <w:lang w:val="fr-FR"/>
              </w:rPr>
              <w:t>EH, EG, EC, XE, EZ and EN</w:t>
            </w:r>
          </w:p>
        </w:tc>
      </w:tr>
    </w:tbl>
    <w:p w:rsidR="007C0755" w:rsidRPr="00EA4E25" w:rsidRDefault="001F6394" w:rsidP="00235165">
      <w:pPr>
        <w:rPr>
          <w:lang w:val="fr-FR"/>
        </w:rPr>
      </w:pPr>
      <w:r w:rsidRPr="00EA4E25">
        <w:rPr>
          <w:lang w:val="fr-FR"/>
        </w:rPr>
        <w:tab/>
      </w:r>
    </w:p>
    <w:p w:rsidR="00690DB4" w:rsidRPr="00EA4E25" w:rsidRDefault="007C0755" w:rsidP="007C0755">
      <w:pPr>
        <w:pStyle w:val="Heading3"/>
        <w:numPr>
          <w:ilvl w:val="0"/>
          <w:numId w:val="0"/>
        </w:numPr>
        <w:tabs>
          <w:tab w:val="num" w:pos="851"/>
          <w:tab w:val="left" w:pos="1134"/>
        </w:tabs>
        <w:ind w:left="1134"/>
        <w:rPr>
          <w:i/>
          <w:color w:val="auto"/>
        </w:rPr>
      </w:pPr>
      <w:r w:rsidRPr="00EA4E25">
        <w:rPr>
          <w:color w:val="auto"/>
        </w:rPr>
        <w:t xml:space="preserve">Incidental </w:t>
      </w:r>
      <w:r w:rsidR="001F6394" w:rsidRPr="00EA4E25">
        <w:rPr>
          <w:color w:val="auto"/>
        </w:rPr>
        <w:t xml:space="preserve">risk codes are also allowed for each </w:t>
      </w:r>
      <w:r w:rsidR="00F47CD3" w:rsidRPr="00EA4E25">
        <w:rPr>
          <w:color w:val="auto"/>
        </w:rPr>
        <w:t>class but</w:t>
      </w:r>
      <w:r w:rsidR="001F6394" w:rsidRPr="00EA4E25">
        <w:rPr>
          <w:color w:val="auto"/>
        </w:rPr>
        <w:t xml:space="preserve"> limited to a maximum of 10% of premium for class as shown below. </w:t>
      </w:r>
    </w:p>
    <w:tbl>
      <w:tblPr>
        <w:tblW w:w="849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059"/>
        <w:gridCol w:w="3449"/>
      </w:tblGrid>
      <w:tr w:rsidR="00C62D2F" w:rsidRPr="00EA4E25" w:rsidTr="00235165">
        <w:trPr>
          <w:trHeight w:val="96"/>
        </w:trPr>
        <w:tc>
          <w:tcPr>
            <w:tcW w:w="1985" w:type="dxa"/>
            <w:shd w:val="clear" w:color="auto" w:fill="auto"/>
            <w:vAlign w:val="center"/>
          </w:tcPr>
          <w:p w:rsidR="00C62D2F" w:rsidRPr="00235165" w:rsidRDefault="00C62D2F" w:rsidP="00235165">
            <w:pPr>
              <w:rPr>
                <w:i/>
              </w:rPr>
            </w:pPr>
            <w:r w:rsidRPr="00235165">
              <w:rPr>
                <w:i/>
              </w:rPr>
              <w:t>Class of business Code</w:t>
            </w:r>
            <w:r w:rsidR="00F47CD3">
              <w:rPr>
                <w:i/>
              </w:rPr>
              <w:t>:</w:t>
            </w:r>
          </w:p>
        </w:tc>
        <w:tc>
          <w:tcPr>
            <w:tcW w:w="3059" w:type="dxa"/>
            <w:shd w:val="clear" w:color="auto" w:fill="auto"/>
            <w:vAlign w:val="center"/>
          </w:tcPr>
          <w:p w:rsidR="00C62D2F" w:rsidRPr="00235165" w:rsidRDefault="00C62D2F" w:rsidP="00235165">
            <w:pPr>
              <w:rPr>
                <w:i/>
              </w:rPr>
            </w:pPr>
            <w:r w:rsidRPr="00235165">
              <w:rPr>
                <w:i/>
              </w:rPr>
              <w:t>Class of business Description</w:t>
            </w:r>
            <w:r w:rsidR="00F47CD3">
              <w:rPr>
                <w:i/>
              </w:rPr>
              <w:t>:</w:t>
            </w:r>
          </w:p>
        </w:tc>
        <w:tc>
          <w:tcPr>
            <w:tcW w:w="3449" w:type="dxa"/>
            <w:shd w:val="clear" w:color="auto" w:fill="auto"/>
            <w:vAlign w:val="center"/>
          </w:tcPr>
          <w:p w:rsidR="00C62D2F" w:rsidRPr="00235165" w:rsidRDefault="00C62D2F" w:rsidP="00235165">
            <w:pPr>
              <w:rPr>
                <w:i/>
              </w:rPr>
            </w:pPr>
            <w:r w:rsidRPr="00235165">
              <w:rPr>
                <w:i/>
              </w:rPr>
              <w:t>Incidental risk codes also allowed for class but maximum 10% of premium for class</w:t>
            </w:r>
            <w:r w:rsidR="00F47CD3">
              <w:rPr>
                <w:i/>
              </w:rPr>
              <w:t>:</w:t>
            </w:r>
          </w:p>
        </w:tc>
      </w:tr>
      <w:tr w:rsidR="00C62D2F" w:rsidRPr="00EA4E25" w:rsidTr="00235165">
        <w:trPr>
          <w:trHeight w:val="990"/>
        </w:trPr>
        <w:tc>
          <w:tcPr>
            <w:tcW w:w="1985" w:type="dxa"/>
            <w:shd w:val="clear" w:color="auto" w:fill="auto"/>
          </w:tcPr>
          <w:p w:rsidR="00C62D2F" w:rsidRPr="00EA4E25" w:rsidRDefault="00C62D2F" w:rsidP="00A77EAC">
            <w:pPr>
              <w:pStyle w:val="Heading3"/>
              <w:numPr>
                <w:ilvl w:val="0"/>
                <w:numId w:val="0"/>
              </w:numPr>
              <w:tabs>
                <w:tab w:val="clear" w:pos="851"/>
                <w:tab w:val="left" w:pos="1134"/>
              </w:tabs>
              <w:rPr>
                <w:i/>
              </w:rPr>
            </w:pPr>
            <w:r w:rsidRPr="00EA4E25">
              <w:rPr>
                <w:i/>
              </w:rPr>
              <w:t>OEGW</w:t>
            </w:r>
          </w:p>
        </w:tc>
        <w:tc>
          <w:tcPr>
            <w:tcW w:w="3059" w:type="dxa"/>
            <w:shd w:val="clear" w:color="auto" w:fill="auto"/>
          </w:tcPr>
          <w:p w:rsidR="00C62D2F" w:rsidRPr="00EA4E25" w:rsidRDefault="00C62D2F" w:rsidP="00A77EAC">
            <w:pPr>
              <w:pStyle w:val="Heading3"/>
              <w:numPr>
                <w:ilvl w:val="0"/>
                <w:numId w:val="0"/>
              </w:numPr>
              <w:tabs>
                <w:tab w:val="clear" w:pos="851"/>
                <w:tab w:val="left" w:pos="1134"/>
              </w:tabs>
              <w:rPr>
                <w:i/>
              </w:rPr>
            </w:pPr>
            <w:r w:rsidRPr="00EA4E25">
              <w:rPr>
                <w:i/>
              </w:rPr>
              <w:t>Offshore Energy GOM wind</w:t>
            </w:r>
          </w:p>
        </w:tc>
        <w:tc>
          <w:tcPr>
            <w:tcW w:w="3449" w:type="dxa"/>
            <w:shd w:val="clear" w:color="auto" w:fill="auto"/>
          </w:tcPr>
          <w:p w:rsidR="00C62D2F" w:rsidRPr="00EA4E25" w:rsidRDefault="008E15CC" w:rsidP="0075488E">
            <w:pPr>
              <w:pStyle w:val="Heading3"/>
              <w:numPr>
                <w:ilvl w:val="0"/>
                <w:numId w:val="0"/>
              </w:numPr>
              <w:tabs>
                <w:tab w:val="clear" w:pos="851"/>
                <w:tab w:val="left" w:pos="1134"/>
              </w:tabs>
              <w:rPr>
                <w:i/>
                <w:lang w:val="de-DE"/>
              </w:rPr>
            </w:pPr>
            <w:r w:rsidRPr="00EA4E25">
              <w:rPr>
                <w:rFonts w:cs="Arial"/>
                <w:i/>
                <w:lang w:val="de-DE"/>
              </w:rPr>
              <w:t xml:space="preserve">EF, V, T, B, W, TO, G, 1E, 3E, 2E, 4E, </w:t>
            </w:r>
            <w:r w:rsidR="00766CE9" w:rsidRPr="00EA4E25">
              <w:rPr>
                <w:rFonts w:cs="Arial"/>
                <w:i/>
                <w:lang w:val="de-DE"/>
              </w:rPr>
              <w:t xml:space="preserve">3T, </w:t>
            </w:r>
            <w:r w:rsidRPr="00EA4E25">
              <w:rPr>
                <w:rFonts w:cs="Arial"/>
                <w:i/>
                <w:lang w:val="de-DE"/>
              </w:rPr>
              <w:t>8T, VX, WB, TS</w:t>
            </w:r>
            <w:r w:rsidR="0075488E" w:rsidRPr="00EA4E25">
              <w:rPr>
                <w:rFonts w:cs="Arial"/>
                <w:i/>
                <w:lang w:val="de-DE"/>
              </w:rPr>
              <w:t xml:space="preserve">, </w:t>
            </w:r>
            <w:r w:rsidRPr="00EA4E25">
              <w:rPr>
                <w:rFonts w:cs="Arial"/>
                <w:i/>
                <w:lang w:val="de-DE"/>
              </w:rPr>
              <w:t>EA</w:t>
            </w:r>
            <w:r w:rsidR="0075488E" w:rsidRPr="00EA4E25">
              <w:rPr>
                <w:rFonts w:cs="Arial"/>
                <w:i/>
                <w:lang w:val="de-DE"/>
              </w:rPr>
              <w:t>, CY and CZ</w:t>
            </w:r>
          </w:p>
        </w:tc>
      </w:tr>
      <w:tr w:rsidR="00C62D2F" w:rsidRPr="00EA4E25" w:rsidTr="00235165">
        <w:trPr>
          <w:trHeight w:val="990"/>
        </w:trPr>
        <w:tc>
          <w:tcPr>
            <w:tcW w:w="1985" w:type="dxa"/>
            <w:shd w:val="clear" w:color="auto" w:fill="auto"/>
          </w:tcPr>
          <w:p w:rsidR="00C62D2F" w:rsidRPr="00EA4E25" w:rsidRDefault="00C62D2F" w:rsidP="00A77EAC">
            <w:pPr>
              <w:pStyle w:val="Heading3"/>
              <w:numPr>
                <w:ilvl w:val="0"/>
                <w:numId w:val="0"/>
              </w:numPr>
              <w:tabs>
                <w:tab w:val="clear" w:pos="851"/>
                <w:tab w:val="left" w:pos="1134"/>
              </w:tabs>
              <w:rPr>
                <w:i/>
              </w:rPr>
            </w:pPr>
            <w:r w:rsidRPr="00EA4E25">
              <w:rPr>
                <w:i/>
              </w:rPr>
              <w:t>OEXGW</w:t>
            </w:r>
          </w:p>
        </w:tc>
        <w:tc>
          <w:tcPr>
            <w:tcW w:w="3059" w:type="dxa"/>
            <w:shd w:val="clear" w:color="auto" w:fill="auto"/>
          </w:tcPr>
          <w:p w:rsidR="00C62D2F" w:rsidRPr="00EA4E25" w:rsidRDefault="00C62D2F" w:rsidP="00A77EAC">
            <w:pPr>
              <w:pStyle w:val="Heading3"/>
              <w:numPr>
                <w:ilvl w:val="0"/>
                <w:numId w:val="0"/>
              </w:numPr>
              <w:tabs>
                <w:tab w:val="clear" w:pos="851"/>
                <w:tab w:val="left" w:pos="1134"/>
              </w:tabs>
              <w:rPr>
                <w:i/>
              </w:rPr>
            </w:pPr>
            <w:r w:rsidRPr="00EA4E25">
              <w:rPr>
                <w:i/>
              </w:rPr>
              <w:t>Offshore Energy excluding GOM wind</w:t>
            </w:r>
          </w:p>
        </w:tc>
        <w:tc>
          <w:tcPr>
            <w:tcW w:w="3449" w:type="dxa"/>
            <w:shd w:val="clear" w:color="auto" w:fill="auto"/>
          </w:tcPr>
          <w:p w:rsidR="00C62D2F" w:rsidRPr="00EA4E25" w:rsidRDefault="00C62D2F" w:rsidP="00766CE9">
            <w:pPr>
              <w:pStyle w:val="Heading3"/>
              <w:numPr>
                <w:ilvl w:val="0"/>
                <w:numId w:val="0"/>
              </w:numPr>
              <w:tabs>
                <w:tab w:val="clear" w:pos="851"/>
                <w:tab w:val="left" w:pos="1134"/>
              </w:tabs>
              <w:rPr>
                <w:i/>
                <w:lang w:val="de-DE"/>
              </w:rPr>
            </w:pPr>
            <w:r w:rsidRPr="00EA4E25">
              <w:rPr>
                <w:rFonts w:cs="Arial"/>
                <w:i/>
                <w:lang w:val="de-DE"/>
              </w:rPr>
              <w:t xml:space="preserve">EF, V, T, B, W, TO, G, 1E, 3E, 2E, 4E, </w:t>
            </w:r>
            <w:r w:rsidR="00766CE9" w:rsidRPr="00EA4E25">
              <w:rPr>
                <w:rFonts w:cs="Arial"/>
                <w:i/>
                <w:lang w:val="de-DE"/>
              </w:rPr>
              <w:t xml:space="preserve">3T, </w:t>
            </w:r>
            <w:r w:rsidR="008E15CC" w:rsidRPr="00EA4E25">
              <w:rPr>
                <w:rFonts w:cs="Arial"/>
                <w:i/>
                <w:lang w:val="de-DE"/>
              </w:rPr>
              <w:t xml:space="preserve">8T, </w:t>
            </w:r>
            <w:r w:rsidR="00766CE9" w:rsidRPr="00EA4E25">
              <w:rPr>
                <w:rFonts w:cs="Arial"/>
                <w:i/>
                <w:lang w:val="de-DE"/>
              </w:rPr>
              <w:t xml:space="preserve">TU, </w:t>
            </w:r>
            <w:r w:rsidRPr="00EA4E25">
              <w:rPr>
                <w:rFonts w:cs="Arial"/>
                <w:i/>
                <w:lang w:val="de-DE"/>
              </w:rPr>
              <w:t>VX, WB, TS</w:t>
            </w:r>
            <w:r w:rsidR="0075488E" w:rsidRPr="00EA4E25">
              <w:rPr>
                <w:rFonts w:cs="Arial"/>
                <w:i/>
                <w:lang w:val="de-DE"/>
              </w:rPr>
              <w:t xml:space="preserve">, </w:t>
            </w:r>
            <w:r w:rsidRPr="00EA4E25">
              <w:rPr>
                <w:rFonts w:cs="Arial"/>
                <w:i/>
                <w:lang w:val="de-DE"/>
              </w:rPr>
              <w:t>EA</w:t>
            </w:r>
            <w:r w:rsidR="0075488E" w:rsidRPr="00EA4E25">
              <w:rPr>
                <w:rFonts w:cs="Arial"/>
                <w:i/>
                <w:lang w:val="de-DE"/>
              </w:rPr>
              <w:t>, CY and CZ</w:t>
            </w:r>
          </w:p>
        </w:tc>
      </w:tr>
    </w:tbl>
    <w:p w:rsidR="007D0F24" w:rsidRPr="00EA4E25" w:rsidRDefault="007D0F24" w:rsidP="00C66953">
      <w:bookmarkStart w:id="75" w:name="_Toc89825876"/>
      <w:bookmarkStart w:id="76" w:name="_Toc89826839"/>
      <w:bookmarkStart w:id="77" w:name="_Toc95271066"/>
      <w:bookmarkStart w:id="78" w:name="_Toc264275401"/>
      <w:bookmarkEnd w:id="67"/>
      <w:bookmarkEnd w:id="68"/>
    </w:p>
    <w:p w:rsidR="00700A2A" w:rsidRPr="00EA4E25" w:rsidRDefault="00700A2A" w:rsidP="00C66953"/>
    <w:p w:rsidR="00CC42C9" w:rsidRPr="00111F9B" w:rsidRDefault="00CC42C9" w:rsidP="00C87C61">
      <w:pPr>
        <w:pStyle w:val="Heading1"/>
        <w:tabs>
          <w:tab w:val="clear" w:pos="783"/>
          <w:tab w:val="left" w:pos="1134"/>
        </w:tabs>
        <w:ind w:left="1134" w:hanging="1134"/>
      </w:pPr>
      <w:bookmarkStart w:id="79" w:name="_Toc452126168"/>
      <w:r w:rsidRPr="00111F9B">
        <w:t>SBF100 FORECAST TECHNICAL ACCOUNT</w:t>
      </w:r>
      <w:bookmarkEnd w:id="75"/>
      <w:bookmarkEnd w:id="76"/>
      <w:bookmarkEnd w:id="77"/>
      <w:bookmarkEnd w:id="78"/>
      <w:r w:rsidR="00D237B3" w:rsidRPr="00111F9B">
        <w:t xml:space="preserve"> and SBF100s FORECAST TECHNICAL ACCOUNT SUMMARY FOR ALL DISTRIBUTION CHANNELS</w:t>
      </w:r>
      <w:bookmarkEnd w:id="79"/>
    </w:p>
    <w:p w:rsidR="00911DE6" w:rsidRPr="00EA4E25" w:rsidRDefault="00911DE6" w:rsidP="00911DE6"/>
    <w:p w:rsidR="00CC42C9" w:rsidRPr="00EA4E25" w:rsidRDefault="005771EA" w:rsidP="000C2C36">
      <w:pPr>
        <w:pStyle w:val="Heading2"/>
        <w:tabs>
          <w:tab w:val="num" w:pos="1134"/>
        </w:tabs>
        <w:ind w:left="0" w:firstLine="0"/>
      </w:pPr>
      <w:r w:rsidRPr="00EA4E25">
        <w:t xml:space="preserve">       </w:t>
      </w:r>
      <w:r w:rsidR="00061345" w:rsidRPr="00EA4E25">
        <w:tab/>
      </w:r>
      <w:r w:rsidR="00CC42C9" w:rsidRPr="00EA4E25">
        <w:rPr>
          <w:sz w:val="24"/>
          <w:szCs w:val="24"/>
        </w:rPr>
        <w:t>Summary</w:t>
      </w:r>
    </w:p>
    <w:p w:rsidR="00911DE6" w:rsidRPr="00EA4E25" w:rsidRDefault="00CC42C9" w:rsidP="003D560C">
      <w:pPr>
        <w:pStyle w:val="Heading3"/>
        <w:tabs>
          <w:tab w:val="clear" w:pos="851"/>
          <w:tab w:val="num" w:pos="1134"/>
        </w:tabs>
        <w:ind w:left="1134" w:hanging="1134"/>
        <w:rPr>
          <w:color w:val="auto"/>
        </w:rPr>
      </w:pPr>
      <w:r w:rsidRPr="00EA4E25">
        <w:t xml:space="preserve">This </w:t>
      </w:r>
      <w:r w:rsidR="006E1CD0" w:rsidRPr="00EA4E25">
        <w:t xml:space="preserve">form </w:t>
      </w:r>
      <w:r w:rsidRPr="00EA4E25">
        <w:t xml:space="preserve">provides </w:t>
      </w:r>
      <w:r w:rsidR="003F2ABB" w:rsidRPr="00EA4E25">
        <w:t xml:space="preserve">12 month and ultimate </w:t>
      </w:r>
      <w:r w:rsidR="000F7946" w:rsidRPr="00EA4E25">
        <w:t>year of account</w:t>
      </w:r>
      <w:r w:rsidRPr="00EA4E25">
        <w:t xml:space="preserve"> forecasts</w:t>
      </w:r>
      <w:r w:rsidR="00F601D3" w:rsidRPr="00EA4E25">
        <w:t xml:space="preserve"> for each </w:t>
      </w:r>
      <w:r w:rsidR="005905F1" w:rsidRPr="00EA4E25">
        <w:t>d</w:t>
      </w:r>
      <w:r w:rsidR="00EC6A41" w:rsidRPr="00EA4E25">
        <w:t xml:space="preserve">istribution </w:t>
      </w:r>
      <w:r w:rsidR="00814F7F" w:rsidRPr="00EA4E25">
        <w:t>c</w:t>
      </w:r>
      <w:r w:rsidR="004C3B91" w:rsidRPr="00EA4E25">
        <w:t>hannel</w:t>
      </w:r>
      <w:r w:rsidR="00F601D3" w:rsidRPr="00EA4E25">
        <w:t xml:space="preserve"> where the syndicate intends to write business</w:t>
      </w:r>
      <w:r w:rsidR="000F7946" w:rsidRPr="00EA4E25">
        <w:t>.</w:t>
      </w:r>
      <w:r w:rsidRPr="00EA4E25">
        <w:t xml:space="preserve"> </w:t>
      </w:r>
    </w:p>
    <w:p w:rsidR="00BB1C21" w:rsidRPr="00EA4E25" w:rsidRDefault="00BB1C21" w:rsidP="003D560C">
      <w:pPr>
        <w:pStyle w:val="Heading3"/>
        <w:tabs>
          <w:tab w:val="clear" w:pos="851"/>
          <w:tab w:val="num" w:pos="1134"/>
        </w:tabs>
        <w:ind w:left="1134" w:hanging="1134"/>
        <w:rPr>
          <w:color w:val="auto"/>
        </w:rPr>
      </w:pPr>
      <w:r w:rsidRPr="00EA4E25">
        <w:t xml:space="preserve">Where appropriate, data </w:t>
      </w:r>
      <w:r w:rsidRPr="00EA4E25">
        <w:rPr>
          <w:rFonts w:cs="Arial"/>
          <w:lang w:eastAsia="en-GB"/>
        </w:rPr>
        <w:t>from the Underwriting Performance Forecast (</w:t>
      </w:r>
      <w:r w:rsidR="00037B1F" w:rsidRPr="00EA4E25">
        <w:rPr>
          <w:rFonts w:cs="Arial"/>
          <w:lang w:eastAsia="en-GB"/>
        </w:rPr>
        <w:t>SBF</w:t>
      </w:r>
      <w:r w:rsidR="00037B1F" w:rsidRPr="00EA4E25">
        <w:rPr>
          <w:rFonts w:cs="Arial"/>
          <w:bCs/>
          <w:lang w:eastAsia="en-GB"/>
        </w:rPr>
        <w:t>105</w:t>
      </w:r>
      <w:r w:rsidRPr="00EA4E25">
        <w:rPr>
          <w:rFonts w:cs="Arial"/>
          <w:lang w:eastAsia="en-GB"/>
        </w:rPr>
        <w:t xml:space="preserve">) section will be used to </w:t>
      </w:r>
      <w:r w:rsidRPr="00EA4E25">
        <w:rPr>
          <w:rFonts w:cs="Arial"/>
          <w:bCs/>
          <w:lang w:eastAsia="en-GB"/>
        </w:rPr>
        <w:t>validate</w:t>
      </w:r>
      <w:r w:rsidRPr="00EA4E25">
        <w:rPr>
          <w:rFonts w:cs="Arial"/>
          <w:lang w:eastAsia="en-GB"/>
        </w:rPr>
        <w:t xml:space="preserve"> entries in the ‘ultimate’ columns.</w:t>
      </w:r>
    </w:p>
    <w:p w:rsidR="00D237B3" w:rsidRPr="00EA4E25" w:rsidRDefault="00731742" w:rsidP="003D560C">
      <w:pPr>
        <w:pStyle w:val="Heading3"/>
        <w:tabs>
          <w:tab w:val="clear" w:pos="851"/>
          <w:tab w:val="num" w:pos="1134"/>
        </w:tabs>
        <w:ind w:left="1134" w:hanging="1134"/>
        <w:rPr>
          <w:color w:val="auto"/>
        </w:rPr>
      </w:pPr>
      <w:r w:rsidRPr="00EA4E25">
        <w:rPr>
          <w:rFonts w:cs="Arial"/>
          <w:lang w:eastAsia="en-GB"/>
        </w:rPr>
        <w:t>SBF</w:t>
      </w:r>
      <w:r w:rsidR="00D237B3" w:rsidRPr="00EA4E25">
        <w:rPr>
          <w:rFonts w:cs="Arial"/>
          <w:lang w:eastAsia="en-GB"/>
        </w:rPr>
        <w:t xml:space="preserve">100s Forecast Technical Account Summary for </w:t>
      </w:r>
      <w:r w:rsidR="00516B33" w:rsidRPr="00EA4E25">
        <w:rPr>
          <w:rFonts w:cs="Arial"/>
          <w:lang w:eastAsia="en-GB"/>
        </w:rPr>
        <w:t>a</w:t>
      </w:r>
      <w:r w:rsidR="00D237B3" w:rsidRPr="00EA4E25">
        <w:rPr>
          <w:rFonts w:cs="Arial"/>
          <w:lang w:eastAsia="en-GB"/>
        </w:rPr>
        <w:t>ll distribution channels shows the summary for all distribution channels. This form is automatically populated.</w:t>
      </w:r>
    </w:p>
    <w:p w:rsidR="00061345" w:rsidRPr="00EA4E25" w:rsidRDefault="005C47C8" w:rsidP="00061345">
      <w:pPr>
        <w:pStyle w:val="Heading3"/>
        <w:tabs>
          <w:tab w:val="clear" w:pos="851"/>
          <w:tab w:val="num" w:pos="1134"/>
        </w:tabs>
        <w:ind w:left="1134" w:hanging="1134"/>
        <w:rPr>
          <w:color w:val="auto"/>
        </w:rPr>
      </w:pPr>
      <w:r w:rsidRPr="00EA4E25">
        <w:rPr>
          <w:rFonts w:cs="Arial"/>
          <w:lang w:eastAsia="en-GB"/>
        </w:rPr>
        <w:t>Data is to be provided on a best estimate basis.</w:t>
      </w:r>
    </w:p>
    <w:p w:rsidR="00CC42C9" w:rsidRPr="00EA4E25" w:rsidRDefault="005771EA" w:rsidP="000C2C36">
      <w:pPr>
        <w:pStyle w:val="Heading2"/>
        <w:tabs>
          <w:tab w:val="num" w:pos="1134"/>
        </w:tabs>
        <w:ind w:left="0" w:firstLine="0"/>
      </w:pPr>
      <w:r w:rsidRPr="00EA4E25">
        <w:t xml:space="preserve">      </w:t>
      </w:r>
      <w:r w:rsidR="000C2C36" w:rsidRPr="00EA4E25">
        <w:t xml:space="preserve"> </w:t>
      </w:r>
      <w:r w:rsidR="00061345" w:rsidRPr="00EA4E25">
        <w:tab/>
      </w:r>
      <w:r w:rsidR="00CC42C9" w:rsidRPr="00EA4E25">
        <w:rPr>
          <w:sz w:val="24"/>
          <w:szCs w:val="24"/>
        </w:rPr>
        <w:t>Key Points</w:t>
      </w:r>
    </w:p>
    <w:p w:rsidR="00681987" w:rsidRPr="00EA4E25" w:rsidRDefault="00681987" w:rsidP="003D560C">
      <w:pPr>
        <w:pStyle w:val="Heading3"/>
        <w:tabs>
          <w:tab w:val="clear" w:pos="851"/>
          <w:tab w:val="num" w:pos="1134"/>
        </w:tabs>
        <w:ind w:left="1134" w:hanging="1134"/>
      </w:pPr>
      <w:r w:rsidRPr="00EA4E25">
        <w:t>This form should be reported on a pure year of account at ultimate basis.</w:t>
      </w:r>
    </w:p>
    <w:p w:rsidR="00F601D3" w:rsidRPr="00EA4E25" w:rsidRDefault="00F601D3" w:rsidP="003D560C">
      <w:pPr>
        <w:pStyle w:val="Heading3"/>
        <w:tabs>
          <w:tab w:val="clear" w:pos="851"/>
          <w:tab w:val="num" w:pos="1134"/>
        </w:tabs>
        <w:ind w:left="1134" w:hanging="1134"/>
      </w:pPr>
      <w:r w:rsidRPr="00EA4E25">
        <w:t xml:space="preserve">An SBF100 form should be completed for each </w:t>
      </w:r>
      <w:r w:rsidR="005905F1" w:rsidRPr="00EA4E25">
        <w:t>d</w:t>
      </w:r>
      <w:r w:rsidRPr="00EA4E25">
        <w:t xml:space="preserve">istribution </w:t>
      </w:r>
      <w:r w:rsidR="00814F7F" w:rsidRPr="00EA4E25">
        <w:t>c</w:t>
      </w:r>
      <w:r w:rsidR="004C3B91" w:rsidRPr="00EA4E25">
        <w:t>hannel</w:t>
      </w:r>
      <w:r w:rsidRPr="00EA4E25">
        <w:t>.</w:t>
      </w:r>
    </w:p>
    <w:p w:rsidR="00F601D3" w:rsidRPr="00EA4E25" w:rsidRDefault="00F601D3" w:rsidP="003D560C">
      <w:pPr>
        <w:pStyle w:val="Heading3"/>
        <w:tabs>
          <w:tab w:val="clear" w:pos="851"/>
          <w:tab w:val="num" w:pos="1134"/>
        </w:tabs>
        <w:ind w:left="1134" w:hanging="1134"/>
      </w:pPr>
      <w:r w:rsidRPr="00EA4E25">
        <w:t xml:space="preserve">A consolidated view of all </w:t>
      </w:r>
      <w:r w:rsidR="005905F1" w:rsidRPr="00EA4E25">
        <w:t>d</w:t>
      </w:r>
      <w:r w:rsidRPr="00EA4E25">
        <w:t xml:space="preserve">istribution </w:t>
      </w:r>
      <w:r w:rsidR="00814F7F" w:rsidRPr="00EA4E25">
        <w:t>c</w:t>
      </w:r>
      <w:r w:rsidR="004C3B91" w:rsidRPr="00EA4E25">
        <w:t>hannel</w:t>
      </w:r>
      <w:r w:rsidRPr="00EA4E25">
        <w:t>s is automatically generated by the return (SBF100s)</w:t>
      </w:r>
      <w:r w:rsidR="00060FA8">
        <w:t>.</w:t>
      </w:r>
    </w:p>
    <w:p w:rsidR="00CC42C9" w:rsidRPr="00EA4E25" w:rsidRDefault="00CC42C9" w:rsidP="003D560C">
      <w:pPr>
        <w:pStyle w:val="Heading3"/>
        <w:tabs>
          <w:tab w:val="clear" w:pos="851"/>
          <w:tab w:val="num" w:pos="1134"/>
        </w:tabs>
        <w:ind w:left="1134" w:hanging="1134"/>
      </w:pPr>
      <w:r w:rsidRPr="00EA4E25">
        <w:t>All entries in this section must be in CNV.</w:t>
      </w:r>
    </w:p>
    <w:p w:rsidR="00CC42C9" w:rsidRPr="00EA4E25" w:rsidRDefault="00CC42C9" w:rsidP="003D560C">
      <w:pPr>
        <w:pStyle w:val="Heading3"/>
        <w:tabs>
          <w:tab w:val="clear" w:pos="851"/>
          <w:tab w:val="num" w:pos="1134"/>
        </w:tabs>
        <w:ind w:left="1134" w:hanging="1134"/>
      </w:pPr>
      <w:r w:rsidRPr="00EA4E25">
        <w:t xml:space="preserve">For the purposes of this section, it has been assumed that ultimate equals the position at </w:t>
      </w:r>
      <w:r w:rsidR="00F35F6F" w:rsidRPr="00EA4E25">
        <w:t>full natural expiry of all business written</w:t>
      </w:r>
      <w:r w:rsidRPr="00EA4E25">
        <w:t>. Please use the comments box to explain if this is not the case.</w:t>
      </w:r>
    </w:p>
    <w:p w:rsidR="00CC42C9" w:rsidRPr="00111F9B" w:rsidRDefault="00CC42C9" w:rsidP="003D560C">
      <w:pPr>
        <w:pStyle w:val="Heading3"/>
        <w:tabs>
          <w:tab w:val="clear" w:pos="851"/>
          <w:tab w:val="num" w:pos="1134"/>
        </w:tabs>
        <w:ind w:left="1134" w:hanging="1134"/>
      </w:pPr>
      <w:r w:rsidRPr="00111F9B">
        <w:t xml:space="preserve">Where appropriate, data from the Underwriting Performance Forecast (105) section will be used to generate entries in the </w:t>
      </w:r>
      <w:r w:rsidR="003F2ABB" w:rsidRPr="00111F9B">
        <w:t>‘</w:t>
      </w:r>
      <w:r w:rsidRPr="00111F9B">
        <w:t>ultimate</w:t>
      </w:r>
      <w:r w:rsidR="003F2ABB" w:rsidRPr="00111F9B">
        <w:t>’</w:t>
      </w:r>
      <w:r w:rsidRPr="00111F9B">
        <w:t xml:space="preserve"> columns. </w:t>
      </w:r>
    </w:p>
    <w:p w:rsidR="00FE48C7" w:rsidRPr="00111F9B" w:rsidRDefault="00E353B7" w:rsidP="003D560C">
      <w:pPr>
        <w:pStyle w:val="Heading3"/>
        <w:tabs>
          <w:tab w:val="clear" w:pos="851"/>
          <w:tab w:val="num" w:pos="1134"/>
        </w:tabs>
        <w:ind w:left="1134" w:hanging="1134"/>
      </w:pPr>
      <w:r w:rsidRPr="00111F9B">
        <w:t>“Outward</w:t>
      </w:r>
      <w:r w:rsidR="00FE48C7" w:rsidRPr="00111F9B">
        <w:t xml:space="preserve"> reinsurance premiums (gross)” (line 2) should be used to report the outwards reinsurance premium expected to be ceded to all reinsurers before any deduction for ceding, overriding commission, or profit participations expected to be received, which should be reported separately within lines (11c1) and (11c2). This should include outwards reinsurance to third party reinsurers, related party reinsurers and/or Special Purpose Arrangements (SPA)</w:t>
      </w:r>
      <w:r w:rsidR="00070DA8" w:rsidRPr="00111F9B">
        <w:t>.</w:t>
      </w:r>
      <w:r w:rsidR="00F47CD3" w:rsidRPr="00111F9B">
        <w:t xml:space="preserve"> </w:t>
      </w:r>
      <w:r w:rsidR="00FE48C7" w:rsidRPr="00111F9B">
        <w:t xml:space="preserve">The total in the Ultimate column row should reconcile with the totals within form 105 from the combination of columns (D) and (E).    </w:t>
      </w:r>
    </w:p>
    <w:p w:rsidR="003368BF" w:rsidRPr="00111F9B" w:rsidRDefault="003368BF" w:rsidP="003D560C">
      <w:pPr>
        <w:pStyle w:val="Heading3"/>
        <w:tabs>
          <w:tab w:val="clear" w:pos="851"/>
          <w:tab w:val="num" w:pos="1134"/>
        </w:tabs>
        <w:ind w:left="1134" w:hanging="1134"/>
        <w:rPr>
          <w:color w:val="auto"/>
        </w:rPr>
      </w:pPr>
      <w:r w:rsidRPr="00111F9B">
        <w:rPr>
          <w:color w:val="auto"/>
        </w:rPr>
        <w:t>Gross</w:t>
      </w:r>
      <w:r w:rsidR="0003427B" w:rsidRPr="00111F9B">
        <w:rPr>
          <w:color w:val="auto"/>
        </w:rPr>
        <w:t xml:space="preserve"> </w:t>
      </w:r>
      <w:r w:rsidRPr="00111F9B">
        <w:rPr>
          <w:color w:val="auto"/>
        </w:rPr>
        <w:t xml:space="preserve">claims (line </w:t>
      </w:r>
      <w:r w:rsidR="00A34297" w:rsidRPr="00111F9B">
        <w:rPr>
          <w:color w:val="auto"/>
        </w:rPr>
        <w:t>7</w:t>
      </w:r>
      <w:r w:rsidRPr="00111F9B">
        <w:rPr>
          <w:color w:val="auto"/>
        </w:rPr>
        <w:t>)</w:t>
      </w:r>
      <w:r w:rsidR="0003427B" w:rsidRPr="00111F9B">
        <w:rPr>
          <w:color w:val="auto"/>
        </w:rPr>
        <w:t xml:space="preserve"> </w:t>
      </w:r>
      <w:r w:rsidRPr="00111F9B">
        <w:rPr>
          <w:color w:val="auto"/>
        </w:rPr>
        <w:t xml:space="preserve">includes allocated claims handling expenses, but not ULAE, which is recorded in line </w:t>
      </w:r>
      <w:r w:rsidR="00A34297" w:rsidRPr="00111F9B">
        <w:rPr>
          <w:color w:val="auto"/>
        </w:rPr>
        <w:t>8</w:t>
      </w:r>
      <w:r w:rsidRPr="00111F9B">
        <w:rPr>
          <w:color w:val="auto"/>
        </w:rPr>
        <w:t>.</w:t>
      </w:r>
    </w:p>
    <w:p w:rsidR="00281D26" w:rsidRPr="00111F9B" w:rsidRDefault="00281D26" w:rsidP="003D560C">
      <w:pPr>
        <w:pStyle w:val="Heading3"/>
        <w:tabs>
          <w:tab w:val="clear" w:pos="851"/>
          <w:tab w:val="num" w:pos="1134"/>
          <w:tab w:val="num" w:pos="3272"/>
        </w:tabs>
        <w:ind w:left="1134" w:hanging="1134"/>
        <w:rPr>
          <w:color w:val="auto"/>
        </w:rPr>
      </w:pPr>
      <w:r w:rsidRPr="00111F9B">
        <w:rPr>
          <w:color w:val="auto"/>
        </w:rPr>
        <w:t xml:space="preserve">There is no specific line where reinsurance recoveries should be shown.  </w:t>
      </w:r>
      <w:r w:rsidR="00F47CD3" w:rsidRPr="00235165">
        <w:rPr>
          <w:color w:val="auto"/>
        </w:rPr>
        <w:t>However,</w:t>
      </w:r>
      <w:r w:rsidRPr="00111F9B">
        <w:rPr>
          <w:color w:val="auto"/>
        </w:rPr>
        <w:t xml:space="preserve"> they should be included in total technical charges before net operating expenses (line 10). They should include reinsurance recoveries from third party reinsurers, related party reinsurers and/or SPA reinsurers.</w:t>
      </w:r>
    </w:p>
    <w:p w:rsidR="001F66F5" w:rsidRPr="00EA4E25" w:rsidRDefault="001A6E40" w:rsidP="003D560C">
      <w:pPr>
        <w:pStyle w:val="Heading3"/>
        <w:tabs>
          <w:tab w:val="clear" w:pos="851"/>
          <w:tab w:val="num" w:pos="1134"/>
          <w:tab w:val="num" w:pos="3272"/>
        </w:tabs>
        <w:ind w:left="1134" w:hanging="1134"/>
        <w:rPr>
          <w:color w:val="auto"/>
        </w:rPr>
      </w:pPr>
      <w:r w:rsidRPr="00111F9B">
        <w:rPr>
          <w:color w:val="auto"/>
        </w:rPr>
        <w:t>Total</w:t>
      </w:r>
      <w:r w:rsidR="0003427B" w:rsidRPr="00111F9B">
        <w:rPr>
          <w:color w:val="auto"/>
        </w:rPr>
        <w:t xml:space="preserve"> </w:t>
      </w:r>
      <w:r w:rsidR="00052539" w:rsidRPr="00111F9B">
        <w:rPr>
          <w:color w:val="auto"/>
        </w:rPr>
        <w:t>“</w:t>
      </w:r>
      <w:r w:rsidR="00275942" w:rsidRPr="00111F9B">
        <w:rPr>
          <w:color w:val="auto"/>
        </w:rPr>
        <w:t>N</w:t>
      </w:r>
      <w:r w:rsidR="00963055" w:rsidRPr="00111F9B">
        <w:rPr>
          <w:color w:val="auto"/>
        </w:rPr>
        <w:t>et operating expenses</w:t>
      </w:r>
      <w:r w:rsidR="00275942" w:rsidRPr="00111F9B">
        <w:rPr>
          <w:color w:val="auto"/>
        </w:rPr>
        <w:t>”</w:t>
      </w:r>
      <w:r w:rsidR="006E1CD0" w:rsidRPr="00111F9B">
        <w:rPr>
          <w:color w:val="auto"/>
        </w:rPr>
        <w:t xml:space="preserve"> </w:t>
      </w:r>
      <w:r w:rsidRPr="00111F9B">
        <w:rPr>
          <w:color w:val="auto"/>
        </w:rPr>
        <w:t>(11</w:t>
      </w:r>
      <w:r w:rsidR="0005721F" w:rsidRPr="00111F9B">
        <w:rPr>
          <w:color w:val="auto"/>
        </w:rPr>
        <w:t>d</w:t>
      </w:r>
      <w:r w:rsidRPr="00111F9B">
        <w:rPr>
          <w:color w:val="auto"/>
        </w:rPr>
        <w:t xml:space="preserve">) </w:t>
      </w:r>
      <w:r w:rsidR="00275942" w:rsidRPr="00111F9B">
        <w:rPr>
          <w:color w:val="auto"/>
        </w:rPr>
        <w:t xml:space="preserve">should represent the net calculation of </w:t>
      </w:r>
      <w:r w:rsidR="00262D5A" w:rsidRPr="00111F9B">
        <w:rPr>
          <w:color w:val="auto"/>
        </w:rPr>
        <w:t>the figures</w:t>
      </w:r>
      <w:r w:rsidR="00052539" w:rsidRPr="00111F9B">
        <w:rPr>
          <w:color w:val="auto"/>
        </w:rPr>
        <w:t xml:space="preserve"> reported within</w:t>
      </w:r>
      <w:r w:rsidRPr="00111F9B">
        <w:rPr>
          <w:color w:val="auto"/>
        </w:rPr>
        <w:t xml:space="preserve"> 11a</w:t>
      </w:r>
      <w:r w:rsidR="00202F0D" w:rsidRPr="00111F9B">
        <w:rPr>
          <w:color w:val="auto"/>
        </w:rPr>
        <w:t>,</w:t>
      </w:r>
      <w:r w:rsidRPr="00111F9B">
        <w:rPr>
          <w:color w:val="auto"/>
        </w:rPr>
        <w:t xml:space="preserve"> 11b</w:t>
      </w:r>
      <w:r w:rsidR="00202F0D" w:rsidRPr="00111F9B">
        <w:rPr>
          <w:color w:val="auto"/>
        </w:rPr>
        <w:t>, 11c</w:t>
      </w:r>
      <w:r w:rsidR="00275942" w:rsidRPr="00111F9B">
        <w:rPr>
          <w:color w:val="auto"/>
        </w:rPr>
        <w:t>1, 11c2, namely</w:t>
      </w:r>
      <w:r w:rsidR="00275942" w:rsidRPr="00EA4E25">
        <w:rPr>
          <w:color w:val="auto"/>
        </w:rPr>
        <w:t>:</w:t>
      </w:r>
    </w:p>
    <w:p w:rsidR="00281D26" w:rsidRPr="00EA4E25" w:rsidRDefault="00275942" w:rsidP="00281D26">
      <w:pPr>
        <w:numPr>
          <w:ilvl w:val="3"/>
          <w:numId w:val="6"/>
        </w:numPr>
        <w:tabs>
          <w:tab w:val="clear" w:pos="720"/>
        </w:tabs>
        <w:ind w:left="1418" w:hanging="284"/>
        <w:rPr>
          <w:szCs w:val="22"/>
        </w:rPr>
      </w:pPr>
      <w:r w:rsidRPr="00EA4E25">
        <w:rPr>
          <w:color w:val="000000"/>
          <w:szCs w:val="22"/>
        </w:rPr>
        <w:t xml:space="preserve">“Gross </w:t>
      </w:r>
      <w:r w:rsidR="00281D26" w:rsidRPr="00EA4E25">
        <w:rPr>
          <w:color w:val="000000"/>
          <w:szCs w:val="22"/>
        </w:rPr>
        <w:t>Acquisition costs</w:t>
      </w:r>
      <w:r w:rsidR="00281D26" w:rsidRPr="00EA4E25">
        <w:rPr>
          <w:szCs w:val="22"/>
        </w:rPr>
        <w:t xml:space="preserve">” (11a) are to include brokerage, commissions and business arrangement fees as per the managing agent’s accounting policies under UK GAAP. Reinsurance commission receivable under outwards reinsurance contracts which are calculated from this item should not be deducted to show a net position; instead they should be reported separately in column 11c1.  </w:t>
      </w:r>
    </w:p>
    <w:p w:rsidR="00281D26" w:rsidRPr="00EA4E25" w:rsidRDefault="00281D26" w:rsidP="00E047C6">
      <w:pPr>
        <w:ind w:left="1418"/>
        <w:rPr>
          <w:szCs w:val="22"/>
        </w:rPr>
      </w:pPr>
      <w:r w:rsidRPr="00EA4E25">
        <w:rPr>
          <w:szCs w:val="22"/>
        </w:rPr>
        <w:t xml:space="preserve">   </w:t>
      </w:r>
    </w:p>
    <w:p w:rsidR="004D1AB0" w:rsidRPr="00EA4E25" w:rsidRDefault="004D1AB0" w:rsidP="00F620CD">
      <w:pPr>
        <w:pStyle w:val="Heading3"/>
        <w:numPr>
          <w:ilvl w:val="0"/>
          <w:numId w:val="0"/>
        </w:numPr>
        <w:tabs>
          <w:tab w:val="clear" w:pos="851"/>
          <w:tab w:val="left" w:pos="1134"/>
          <w:tab w:val="num" w:pos="1418"/>
        </w:tabs>
        <w:ind w:left="1418"/>
        <w:rPr>
          <w:color w:val="auto"/>
        </w:rPr>
      </w:pPr>
      <w:r w:rsidRPr="00EA4E25">
        <w:rPr>
          <w:color w:val="auto"/>
        </w:rPr>
        <w:tab/>
      </w:r>
      <w:r w:rsidR="0007353D" w:rsidRPr="00EA4E25">
        <w:rPr>
          <w:color w:val="auto"/>
        </w:rPr>
        <w:t xml:space="preserve">Acquisition costs reported in line </w:t>
      </w:r>
      <w:r w:rsidR="00F601D3" w:rsidRPr="00EA4E25">
        <w:rPr>
          <w:color w:val="auto"/>
        </w:rPr>
        <w:t xml:space="preserve">11a </w:t>
      </w:r>
      <w:r w:rsidR="0007353D" w:rsidRPr="00EA4E25">
        <w:rPr>
          <w:color w:val="auto"/>
        </w:rPr>
        <w:t xml:space="preserve">should </w:t>
      </w:r>
      <w:r w:rsidR="00F601D3" w:rsidRPr="00EA4E25">
        <w:rPr>
          <w:color w:val="auto"/>
        </w:rPr>
        <w:t xml:space="preserve">reconcile to the </w:t>
      </w:r>
      <w:r w:rsidR="007C0755" w:rsidRPr="00EA4E25">
        <w:rPr>
          <w:color w:val="auto"/>
        </w:rPr>
        <w:t>“b</w:t>
      </w:r>
      <w:r w:rsidR="00F601D3" w:rsidRPr="00EA4E25">
        <w:rPr>
          <w:color w:val="auto"/>
        </w:rPr>
        <w:t>r</w:t>
      </w:r>
      <w:r w:rsidR="007C0755" w:rsidRPr="00EA4E25">
        <w:rPr>
          <w:color w:val="auto"/>
        </w:rPr>
        <w:t>okerage and commissions”</w:t>
      </w:r>
      <w:r w:rsidR="00ED5E9F" w:rsidRPr="00EA4E25">
        <w:rPr>
          <w:color w:val="auto"/>
        </w:rPr>
        <w:t xml:space="preserve"> (column F)</w:t>
      </w:r>
      <w:r w:rsidR="007C0755" w:rsidRPr="00EA4E25">
        <w:rPr>
          <w:color w:val="auto"/>
        </w:rPr>
        <w:t xml:space="preserve"> plus “service company a</w:t>
      </w:r>
      <w:r w:rsidR="00F601D3" w:rsidRPr="00EA4E25">
        <w:rPr>
          <w:color w:val="auto"/>
        </w:rPr>
        <w:t>cquisition costs</w:t>
      </w:r>
      <w:r w:rsidR="007C0755" w:rsidRPr="00EA4E25">
        <w:rPr>
          <w:color w:val="auto"/>
        </w:rPr>
        <w:t>”</w:t>
      </w:r>
      <w:r w:rsidR="00ED5E9F" w:rsidRPr="00EA4E25">
        <w:rPr>
          <w:color w:val="auto"/>
        </w:rPr>
        <w:t xml:space="preserve"> (column G)</w:t>
      </w:r>
      <w:r w:rsidR="00F601D3" w:rsidRPr="00EA4E25">
        <w:rPr>
          <w:color w:val="auto"/>
        </w:rPr>
        <w:t xml:space="preserve"> </w:t>
      </w:r>
      <w:r w:rsidR="00037B1F" w:rsidRPr="00EA4E25">
        <w:rPr>
          <w:color w:val="auto"/>
        </w:rPr>
        <w:t>plus “Business Arrangements fees” (column H)</w:t>
      </w:r>
      <w:r w:rsidR="00767748" w:rsidRPr="00EA4E25">
        <w:rPr>
          <w:color w:val="auto"/>
        </w:rPr>
        <w:t xml:space="preserve"> plus “Bonuses and Rebates, Gross of Reinsurance (column J)</w:t>
      </w:r>
      <w:r w:rsidR="00037B1F" w:rsidRPr="00EA4E25">
        <w:rPr>
          <w:color w:val="auto"/>
        </w:rPr>
        <w:t xml:space="preserve"> </w:t>
      </w:r>
      <w:r w:rsidR="00F601D3" w:rsidRPr="00EA4E25">
        <w:rPr>
          <w:color w:val="auto"/>
        </w:rPr>
        <w:t>total amount in form SBF105.</w:t>
      </w:r>
    </w:p>
    <w:p w:rsidR="00402CC0" w:rsidRPr="00EA4E25" w:rsidRDefault="00402CC0" w:rsidP="00820BE9">
      <w:pPr>
        <w:pStyle w:val="Heading3"/>
        <w:numPr>
          <w:ilvl w:val="0"/>
          <w:numId w:val="0"/>
        </w:numPr>
        <w:tabs>
          <w:tab w:val="clear" w:pos="851"/>
          <w:tab w:val="left" w:pos="1134"/>
        </w:tabs>
        <w:spacing w:after="360"/>
        <w:ind w:left="1418"/>
      </w:pPr>
      <w:r w:rsidRPr="00EA4E25">
        <w:rPr>
          <w:color w:val="auto"/>
        </w:rPr>
        <w:t>(Form 100, row 11a, column C = Form105, column F plus column G</w:t>
      </w:r>
      <w:r w:rsidR="00037B1F" w:rsidRPr="00EA4E25">
        <w:rPr>
          <w:color w:val="auto"/>
        </w:rPr>
        <w:t xml:space="preserve"> + column H</w:t>
      </w:r>
      <w:r w:rsidR="00767748" w:rsidRPr="00EA4E25">
        <w:rPr>
          <w:color w:val="auto"/>
        </w:rPr>
        <w:t xml:space="preserve"> + column J</w:t>
      </w:r>
      <w:r w:rsidRPr="00EA4E25">
        <w:rPr>
          <w:color w:val="auto"/>
        </w:rPr>
        <w:t>)</w:t>
      </w:r>
    </w:p>
    <w:p w:rsidR="002F0C76" w:rsidRPr="00EA4E25" w:rsidRDefault="00465F9D" w:rsidP="009A3C84">
      <w:pPr>
        <w:pStyle w:val="Heading3"/>
        <w:numPr>
          <w:ilvl w:val="0"/>
          <w:numId w:val="14"/>
        </w:numPr>
        <w:tabs>
          <w:tab w:val="clear" w:pos="851"/>
          <w:tab w:val="left" w:pos="1134"/>
          <w:tab w:val="num" w:pos="1418"/>
        </w:tabs>
      </w:pPr>
      <w:r w:rsidRPr="00EA4E25">
        <w:t>“A</w:t>
      </w:r>
      <w:r w:rsidR="00275942" w:rsidRPr="00EA4E25">
        <w:t>dministrative expenses” (</w:t>
      </w:r>
      <w:r w:rsidR="004D1AB0" w:rsidRPr="00EA4E25">
        <w:t>11b</w:t>
      </w:r>
      <w:r w:rsidR="00275942" w:rsidRPr="00EA4E25">
        <w:t>)</w:t>
      </w:r>
      <w:r w:rsidR="004D1AB0" w:rsidRPr="00EA4E25">
        <w:t xml:space="preserve"> includes all </w:t>
      </w:r>
      <w:r w:rsidR="004D1AB0" w:rsidRPr="00111F9B">
        <w:t>other net operating expenses, including personal expenses, administrative expenses, other acquisition costs and deferred acquisition costs for the 12</w:t>
      </w:r>
      <w:r w:rsidR="002924CD" w:rsidRPr="00111F9B">
        <w:t xml:space="preserve"> </w:t>
      </w:r>
      <w:r w:rsidR="004D1AB0" w:rsidRPr="00111F9B">
        <w:t xml:space="preserve">month period. </w:t>
      </w:r>
      <w:r w:rsidR="002F0C76" w:rsidRPr="00111F9B">
        <w:t>Personal expenses should include managing agents’ fees; profit commissions; Central Fund levy and Lloyd’s subscriptions. Non-standard personal expenses including members’ agents’ fees are not to be reported on this form. Reinsurance commission receivable under</w:t>
      </w:r>
      <w:r w:rsidR="002F0C76" w:rsidRPr="00EA4E25">
        <w:t xml:space="preserve"> outwards reinsurance contracts which are calculated from this item should </w:t>
      </w:r>
      <w:r w:rsidR="002F0C76" w:rsidRPr="00EA4E25">
        <w:rPr>
          <w:u w:val="single"/>
        </w:rPr>
        <w:t>not</w:t>
      </w:r>
      <w:r w:rsidR="002F0C76" w:rsidRPr="00EA4E25">
        <w:t xml:space="preserve"> be deducted to show a net position; instead they should be reported separately in column 11c1.     </w:t>
      </w:r>
    </w:p>
    <w:p w:rsidR="00700A2A" w:rsidRPr="00EA4E25" w:rsidRDefault="00B66F42" w:rsidP="007D0F24">
      <w:pPr>
        <w:pStyle w:val="Heading3"/>
        <w:numPr>
          <w:ilvl w:val="0"/>
          <w:numId w:val="14"/>
        </w:numPr>
        <w:tabs>
          <w:tab w:val="clear" w:pos="851"/>
          <w:tab w:val="left" w:pos="1134"/>
          <w:tab w:val="num" w:pos="1418"/>
        </w:tabs>
      </w:pPr>
      <w:r w:rsidRPr="00EA4E25">
        <w:t xml:space="preserve"> </w:t>
      </w:r>
      <w:r w:rsidR="008443C3" w:rsidRPr="00EA4E25">
        <w:t>“Outwards reinsurance commissions received”</w:t>
      </w:r>
      <w:r w:rsidR="009E3D10" w:rsidRPr="00EA4E25">
        <w:t xml:space="preserve"> (11c1) </w:t>
      </w:r>
      <w:r w:rsidRPr="00EA4E25">
        <w:t>should be used to report</w:t>
      </w:r>
      <w:r w:rsidR="008443C3" w:rsidRPr="00EA4E25">
        <w:t xml:space="preserve"> commissions </w:t>
      </w:r>
      <w:r w:rsidR="00275942" w:rsidRPr="00EA4E25">
        <w:t xml:space="preserve">expected to be </w:t>
      </w:r>
      <w:r w:rsidR="008443C3" w:rsidRPr="00EA4E25">
        <w:t xml:space="preserve">received from reinsurers </w:t>
      </w:r>
      <w:r w:rsidR="009677FA" w:rsidRPr="00EA4E25">
        <w:t xml:space="preserve">as part of </w:t>
      </w:r>
      <w:r w:rsidR="008443C3" w:rsidRPr="00EA4E25">
        <w:t xml:space="preserve">outwards reinsurance contracts. The </w:t>
      </w:r>
      <w:r w:rsidR="009E3D10" w:rsidRPr="00EA4E25">
        <w:t>total figures</w:t>
      </w:r>
      <w:r w:rsidR="008443C3" w:rsidRPr="00EA4E25">
        <w:t xml:space="preserve"> in the Ultimate column should reconcile with the corresponding total</w:t>
      </w:r>
      <w:r w:rsidR="009E3D10" w:rsidRPr="00EA4E25">
        <w:t>s</w:t>
      </w:r>
      <w:r w:rsidR="008443C3" w:rsidRPr="00EA4E25">
        <w:t xml:space="preserve"> </w:t>
      </w:r>
      <w:r w:rsidR="009E3D10" w:rsidRPr="00EA4E25">
        <w:t>within form 105</w:t>
      </w:r>
      <w:r w:rsidR="009859F6" w:rsidRPr="00EA4E25">
        <w:t xml:space="preserve"> </w:t>
      </w:r>
      <w:r w:rsidR="002E6BED" w:rsidRPr="00EA4E25">
        <w:t xml:space="preserve">in Outwards reinsurance commissions received </w:t>
      </w:r>
      <w:r w:rsidR="009859F6" w:rsidRPr="00EA4E25">
        <w:t>(column Ia).</w:t>
      </w:r>
      <w:r w:rsidR="008443C3" w:rsidRPr="00EA4E25">
        <w:t xml:space="preserve">   </w:t>
      </w:r>
    </w:p>
    <w:p w:rsidR="00032EFF" w:rsidRPr="00EA4E25" w:rsidRDefault="008443C3" w:rsidP="00820BE9">
      <w:pPr>
        <w:pStyle w:val="Heading3"/>
        <w:numPr>
          <w:ilvl w:val="0"/>
          <w:numId w:val="14"/>
        </w:numPr>
        <w:spacing w:after="360"/>
      </w:pPr>
      <w:r w:rsidRPr="00EA4E25">
        <w:t>“Outwards reinsurance profit participations received”</w:t>
      </w:r>
      <w:r w:rsidR="009E3D10" w:rsidRPr="00EA4E25">
        <w:t xml:space="preserve"> (11c2)</w:t>
      </w:r>
      <w:r w:rsidRPr="00EA4E25">
        <w:t xml:space="preserve"> </w:t>
      </w:r>
      <w:r w:rsidR="00B66F42" w:rsidRPr="00EA4E25">
        <w:t xml:space="preserve">should be used to report </w:t>
      </w:r>
      <w:r w:rsidR="00032EFF" w:rsidRPr="00EA4E25">
        <w:t>profit part</w:t>
      </w:r>
      <w:r w:rsidR="000D268E" w:rsidRPr="00EA4E25">
        <w:t>i</w:t>
      </w:r>
      <w:r w:rsidR="00032EFF" w:rsidRPr="00EA4E25">
        <w:t>cipations</w:t>
      </w:r>
      <w:r w:rsidR="006E4856" w:rsidRPr="00EA4E25">
        <w:t xml:space="preserve"> </w:t>
      </w:r>
      <w:r w:rsidR="00275942" w:rsidRPr="00EA4E25">
        <w:t xml:space="preserve">expected to be </w:t>
      </w:r>
      <w:r w:rsidR="006E4856" w:rsidRPr="00EA4E25">
        <w:t>received</w:t>
      </w:r>
      <w:r w:rsidRPr="00EA4E25">
        <w:t xml:space="preserve"> from reinsurers </w:t>
      </w:r>
      <w:r w:rsidR="009677FA" w:rsidRPr="00EA4E25">
        <w:t xml:space="preserve">as part of </w:t>
      </w:r>
      <w:r w:rsidRPr="00EA4E25">
        <w:t>outwards reinsurance</w:t>
      </w:r>
      <w:r w:rsidR="009677FA" w:rsidRPr="00EA4E25">
        <w:t xml:space="preserve"> contracts</w:t>
      </w:r>
      <w:r w:rsidRPr="00EA4E25">
        <w:t>. The</w:t>
      </w:r>
      <w:r w:rsidR="009E3D10" w:rsidRPr="00EA4E25">
        <w:t xml:space="preserve"> total figures in the Ultimate column should reconcile with the corresponding totals within form 105</w:t>
      </w:r>
      <w:r w:rsidR="009677FA" w:rsidRPr="00EA4E25">
        <w:t>s</w:t>
      </w:r>
      <w:r w:rsidR="009E3D10" w:rsidRPr="00EA4E25">
        <w:t xml:space="preserve"> in respect of the column entitled “Outwards reinsurance profit participations received” (Ib)</w:t>
      </w:r>
      <w:r w:rsidR="00624767" w:rsidRPr="00EA4E25">
        <w:t xml:space="preserve"> (</w:t>
      </w:r>
      <w:r w:rsidR="00733A23" w:rsidRPr="00EA4E25">
        <w:rPr>
          <w:color w:val="auto"/>
        </w:rPr>
        <w:t>see 8.2.12</w:t>
      </w:r>
      <w:r w:rsidR="00612016" w:rsidRPr="00EA4E25">
        <w:t xml:space="preserve"> and 8.12.13</w:t>
      </w:r>
      <w:r w:rsidR="00624767" w:rsidRPr="00EA4E25">
        <w:t xml:space="preserve"> for definitions of “outwards </w:t>
      </w:r>
      <w:r w:rsidR="00733A23" w:rsidRPr="00EA4E25">
        <w:t>reinsurance commissions</w:t>
      </w:r>
      <w:r w:rsidR="00624767" w:rsidRPr="00EA4E25">
        <w:t xml:space="preserve"> received” and “outwards reinsur</w:t>
      </w:r>
      <w:r w:rsidR="009E3D10" w:rsidRPr="00EA4E25">
        <w:t xml:space="preserve">ance </w:t>
      </w:r>
      <w:r w:rsidR="00624767" w:rsidRPr="00EA4E25">
        <w:t>profit participations received”).</w:t>
      </w:r>
    </w:p>
    <w:p w:rsidR="00820BE9" w:rsidRPr="00EA4E25" w:rsidRDefault="00CC42C9" w:rsidP="003D560C">
      <w:pPr>
        <w:pStyle w:val="Heading3"/>
        <w:tabs>
          <w:tab w:val="clear" w:pos="851"/>
          <w:tab w:val="left" w:pos="1134"/>
        </w:tabs>
        <w:spacing w:after="240"/>
        <w:ind w:left="1134" w:hanging="1134"/>
      </w:pPr>
      <w:r w:rsidRPr="00EA4E25">
        <w:t>In the ordinary cour</w:t>
      </w:r>
      <w:r w:rsidR="007C0755" w:rsidRPr="00EA4E25">
        <w:t>se of events, we would expect “o</w:t>
      </w:r>
      <w:r w:rsidRPr="00EA4E25">
        <w:t xml:space="preserve">ther technical income net of reinsurance” </w:t>
      </w:r>
      <w:r w:rsidR="00133AE0" w:rsidRPr="00EA4E25">
        <w:t xml:space="preserve">(line </w:t>
      </w:r>
      <w:r w:rsidR="00A34297" w:rsidRPr="00EA4E25">
        <w:t>6</w:t>
      </w:r>
      <w:r w:rsidR="00133AE0" w:rsidRPr="00EA4E25">
        <w:t>)</w:t>
      </w:r>
      <w:r w:rsidR="007C0755" w:rsidRPr="00EA4E25">
        <w:t>, “o</w:t>
      </w:r>
      <w:r w:rsidRPr="00EA4E25">
        <w:t xml:space="preserve">ther technical charges net of reinsurance” </w:t>
      </w:r>
      <w:r w:rsidR="00133AE0" w:rsidRPr="00EA4E25">
        <w:t xml:space="preserve">(line </w:t>
      </w:r>
      <w:r w:rsidR="00A34297" w:rsidRPr="00EA4E25">
        <w:t>12</w:t>
      </w:r>
      <w:r w:rsidR="00133AE0" w:rsidRPr="00EA4E25">
        <w:t>)</w:t>
      </w:r>
      <w:r w:rsidR="007C0755" w:rsidRPr="00EA4E25">
        <w:t xml:space="preserve"> and “o</w:t>
      </w:r>
      <w:r w:rsidRPr="00EA4E25">
        <w:t xml:space="preserve">ther charges” </w:t>
      </w:r>
      <w:r w:rsidR="00133AE0" w:rsidRPr="00EA4E25">
        <w:t xml:space="preserve">(line </w:t>
      </w:r>
      <w:r w:rsidR="00A34297" w:rsidRPr="00EA4E25">
        <w:t>15</w:t>
      </w:r>
      <w:r w:rsidR="00133AE0" w:rsidRPr="00EA4E25">
        <w:t xml:space="preserve">) all </w:t>
      </w:r>
      <w:r w:rsidRPr="00EA4E25">
        <w:t xml:space="preserve">to be zero. Where entries are made, </w:t>
      </w:r>
      <w:r w:rsidR="007C0755" w:rsidRPr="00EA4E25">
        <w:t>an explanation is required in the comments section.</w:t>
      </w:r>
      <w:r w:rsidRPr="00EA4E25">
        <w:t xml:space="preserve"> </w:t>
      </w:r>
    </w:p>
    <w:p w:rsidR="00E432FC" w:rsidRPr="00EA4E25" w:rsidRDefault="008F57AC" w:rsidP="003D560C">
      <w:pPr>
        <w:pStyle w:val="Heading3"/>
        <w:tabs>
          <w:tab w:val="clear" w:pos="851"/>
          <w:tab w:val="left" w:pos="1134"/>
        </w:tabs>
        <w:ind w:left="1134" w:hanging="1134"/>
      </w:pPr>
      <w:bookmarkStart w:id="80" w:name="_Ref104624123"/>
      <w:r w:rsidRPr="00EA4E25">
        <w:t>The amounts under "bonuses and rebates</w:t>
      </w:r>
      <w:r w:rsidR="00402CC0" w:rsidRPr="00EA4E25">
        <w:t xml:space="preserve"> net of reinsurance</w:t>
      </w:r>
      <w:r w:rsidRPr="00EA4E25">
        <w:t xml:space="preserve">" </w:t>
      </w:r>
      <w:r w:rsidR="00133AE0" w:rsidRPr="00EA4E25">
        <w:t xml:space="preserve">(line </w:t>
      </w:r>
      <w:r w:rsidR="00A34297" w:rsidRPr="00EA4E25">
        <w:t>13</w:t>
      </w:r>
      <w:r w:rsidR="00133AE0" w:rsidRPr="00EA4E25">
        <w:t xml:space="preserve">) </w:t>
      </w:r>
      <w:r w:rsidR="007C0755" w:rsidRPr="00EA4E25">
        <w:t xml:space="preserve">should </w:t>
      </w:r>
      <w:r w:rsidRPr="00EA4E25">
        <w:t>follow what</w:t>
      </w:r>
      <w:r w:rsidR="000325D0" w:rsidRPr="00EA4E25">
        <w:t>ever disclosure is made by the m</w:t>
      </w:r>
      <w:r w:rsidRPr="00EA4E25">
        <w:t xml:space="preserve">anaging </w:t>
      </w:r>
      <w:r w:rsidR="000325D0" w:rsidRPr="00EA4E25">
        <w:t>a</w:t>
      </w:r>
      <w:r w:rsidRPr="00EA4E25">
        <w:t xml:space="preserve">gent under UK GAAP.  If disclosure is </w:t>
      </w:r>
      <w:r w:rsidR="00733A23" w:rsidRPr="00EA4E25">
        <w:t>made,</w:t>
      </w:r>
      <w:r w:rsidRPr="00EA4E25">
        <w:t xml:space="preserve"> then it would cover bonuses and rebates to the insured only.</w:t>
      </w:r>
      <w:r w:rsidR="004D2A47" w:rsidRPr="00EA4E25">
        <w:t xml:space="preserve">  </w:t>
      </w:r>
      <w:r w:rsidR="004D2A47" w:rsidRPr="00EA4E25">
        <w:rPr>
          <w:rFonts w:cs="Arial"/>
          <w:lang w:eastAsia="en-GB"/>
        </w:rPr>
        <w:t>Hence, any non-zero entry</w:t>
      </w:r>
      <w:r w:rsidR="0041624F" w:rsidRPr="00EA4E25">
        <w:rPr>
          <w:rFonts w:cs="Arial"/>
          <w:lang w:eastAsia="en-GB"/>
        </w:rPr>
        <w:t xml:space="preserve"> will be regarded</w:t>
      </w:r>
      <w:r w:rsidR="004D2A47" w:rsidRPr="00EA4E25">
        <w:rPr>
          <w:rFonts w:cs="Arial"/>
          <w:lang w:eastAsia="en-GB"/>
        </w:rPr>
        <w:t xml:space="preserve"> as exceptional and require</w:t>
      </w:r>
      <w:r w:rsidR="007C0755" w:rsidRPr="00EA4E25">
        <w:rPr>
          <w:rFonts w:cs="Arial"/>
          <w:lang w:eastAsia="en-GB"/>
        </w:rPr>
        <w:t>s</w:t>
      </w:r>
      <w:r w:rsidR="004D2A47" w:rsidRPr="00EA4E25">
        <w:rPr>
          <w:rFonts w:cs="Arial"/>
          <w:lang w:eastAsia="en-GB"/>
        </w:rPr>
        <w:t xml:space="preserve"> a detailed explanation in the comments section.</w:t>
      </w:r>
      <w:bookmarkEnd w:id="80"/>
      <w:r w:rsidR="009A5B1D" w:rsidRPr="00EA4E25">
        <w:rPr>
          <w:rFonts w:cs="Arial"/>
          <w:lang w:eastAsia="en-GB"/>
        </w:rPr>
        <w:t xml:space="preserve"> The amount entered here should be equal to </w:t>
      </w:r>
      <w:r w:rsidR="00767748" w:rsidRPr="00EA4E25">
        <w:rPr>
          <w:rFonts w:cs="Arial"/>
          <w:lang w:eastAsia="en-GB"/>
        </w:rPr>
        <w:t xml:space="preserve">form SBF105 </w:t>
      </w:r>
      <w:r w:rsidR="009A5B1D" w:rsidRPr="00EA4E25">
        <w:rPr>
          <w:rFonts w:cs="Arial"/>
          <w:lang w:eastAsia="en-GB"/>
        </w:rPr>
        <w:t xml:space="preserve">columns </w:t>
      </w:r>
      <w:r w:rsidR="00767748" w:rsidRPr="00EA4E25">
        <w:rPr>
          <w:rFonts w:cs="Arial"/>
          <w:lang w:eastAsia="en-GB"/>
        </w:rPr>
        <w:t>L Bonuses and rebates Net of Reinsurance (column L equals column J Bonuses and Rebates, Gross of Reinsurance plus column K Bonuses and Rebates</w:t>
      </w:r>
      <w:r w:rsidR="00F313AD" w:rsidRPr="00EA4E25">
        <w:rPr>
          <w:rFonts w:cs="Arial"/>
          <w:lang w:eastAsia="en-GB"/>
        </w:rPr>
        <w:t xml:space="preserve"> Reinsurers’ Share)</w:t>
      </w:r>
      <w:r w:rsidR="00820BE9" w:rsidRPr="00EA4E25">
        <w:rPr>
          <w:rFonts w:cs="Arial"/>
          <w:lang w:eastAsia="en-GB"/>
        </w:rPr>
        <w:t>.</w:t>
      </w:r>
    </w:p>
    <w:p w:rsidR="009A5B1D" w:rsidRPr="00EA4E25" w:rsidRDefault="00AE3CAB" w:rsidP="00B30662">
      <w:pPr>
        <w:pStyle w:val="Heading3"/>
        <w:numPr>
          <w:ilvl w:val="0"/>
          <w:numId w:val="0"/>
        </w:numPr>
        <w:tabs>
          <w:tab w:val="clear" w:pos="851"/>
          <w:tab w:val="left" w:pos="1134"/>
        </w:tabs>
      </w:pPr>
      <w:r w:rsidRPr="00EA4E25">
        <w:rPr>
          <w:rFonts w:cs="Arial"/>
          <w:lang w:eastAsia="en-GB"/>
        </w:rPr>
        <w:tab/>
      </w:r>
      <w:r w:rsidR="009A5B1D" w:rsidRPr="00EA4E25">
        <w:rPr>
          <w:rFonts w:cs="Arial"/>
          <w:lang w:eastAsia="en-GB"/>
        </w:rPr>
        <w:t>(Form 100, colum</w:t>
      </w:r>
      <w:r w:rsidR="00F313AD" w:rsidRPr="00EA4E25">
        <w:rPr>
          <w:rFonts w:cs="Arial"/>
          <w:lang w:eastAsia="en-GB"/>
        </w:rPr>
        <w:t>n C, row 13 = Form 105, column L</w:t>
      </w:r>
      <w:r w:rsidR="009A5B1D" w:rsidRPr="00EA4E25">
        <w:rPr>
          <w:rFonts w:cs="Arial"/>
          <w:lang w:eastAsia="en-GB"/>
        </w:rPr>
        <w:t>).</w:t>
      </w:r>
    </w:p>
    <w:p w:rsidR="008E26AA" w:rsidRPr="00EA4E25" w:rsidRDefault="002F0DC7" w:rsidP="003D560C">
      <w:pPr>
        <w:pStyle w:val="Heading3"/>
        <w:tabs>
          <w:tab w:val="clear" w:pos="851"/>
          <w:tab w:val="left" w:pos="1134"/>
        </w:tabs>
        <w:ind w:left="1134" w:hanging="1134"/>
        <w:rPr>
          <w:rFonts w:cs="Arial"/>
          <w:lang w:eastAsia="en-GB"/>
        </w:rPr>
      </w:pPr>
      <w:r w:rsidRPr="00EA4E25">
        <w:rPr>
          <w:rFonts w:cs="Arial"/>
          <w:lang w:eastAsia="en-GB"/>
        </w:rPr>
        <w:t xml:space="preserve">Investment expenses should be included within line </w:t>
      </w:r>
      <w:r w:rsidR="00133AE0" w:rsidRPr="00EA4E25">
        <w:rPr>
          <w:rFonts w:cs="Arial"/>
          <w:lang w:eastAsia="en-GB"/>
        </w:rPr>
        <w:t>“</w:t>
      </w:r>
      <w:r w:rsidRPr="00EA4E25">
        <w:rPr>
          <w:rFonts w:cs="Arial"/>
          <w:lang w:eastAsia="en-GB"/>
        </w:rPr>
        <w:t>total investment return</w:t>
      </w:r>
      <w:r w:rsidR="00A34297" w:rsidRPr="00EA4E25">
        <w:rPr>
          <w:rFonts w:cs="Arial"/>
          <w:lang w:eastAsia="en-GB"/>
        </w:rPr>
        <w:t>” (line 14</w:t>
      </w:r>
      <w:r w:rsidR="00133AE0" w:rsidRPr="00EA4E25">
        <w:rPr>
          <w:rFonts w:cs="Arial"/>
          <w:lang w:eastAsia="en-GB"/>
        </w:rPr>
        <w:t>),</w:t>
      </w:r>
      <w:r w:rsidR="00D23A31" w:rsidRPr="00EA4E25">
        <w:rPr>
          <w:rFonts w:cs="Arial"/>
          <w:lang w:eastAsia="en-GB"/>
        </w:rPr>
        <w:t xml:space="preserve"> as this figure is net of any expenses incurred.</w:t>
      </w:r>
    </w:p>
    <w:p w:rsidR="00941277" w:rsidRPr="00EA4E25" w:rsidRDefault="003A41DE" w:rsidP="003D560C">
      <w:pPr>
        <w:pStyle w:val="Heading3"/>
        <w:tabs>
          <w:tab w:val="clear" w:pos="851"/>
          <w:tab w:val="left" w:pos="1134"/>
        </w:tabs>
        <w:ind w:left="1134" w:hanging="1134"/>
        <w:rPr>
          <w:rFonts w:cs="Arial"/>
          <w:lang w:eastAsia="en-GB"/>
        </w:rPr>
      </w:pPr>
      <w:r w:rsidRPr="00EA4E25">
        <w:rPr>
          <w:rFonts w:cs="Arial"/>
          <w:lang w:eastAsia="en-GB"/>
        </w:rPr>
        <w:t xml:space="preserve">The total in column L1 SBF105 should reconcile to the line 11b </w:t>
      </w:r>
      <w:r w:rsidR="002542B6" w:rsidRPr="00EA4E25">
        <w:rPr>
          <w:rFonts w:cs="Arial"/>
          <w:lang w:eastAsia="en-GB"/>
        </w:rPr>
        <w:t>A</w:t>
      </w:r>
      <w:r w:rsidRPr="00EA4E25">
        <w:rPr>
          <w:rFonts w:cs="Arial"/>
          <w:lang w:eastAsia="en-GB"/>
        </w:rPr>
        <w:t>dmin expenses in form SBF100.</w:t>
      </w:r>
      <w:bookmarkStart w:id="81" w:name="_Toc95271067"/>
      <w:bookmarkStart w:id="82" w:name="_Toc264275402"/>
      <w:bookmarkStart w:id="83" w:name="_Toc89825882"/>
      <w:bookmarkStart w:id="84" w:name="_Toc89826844"/>
    </w:p>
    <w:p w:rsidR="00FB1AC0" w:rsidRDefault="00FB1AC0" w:rsidP="003D560C">
      <w:pPr>
        <w:pStyle w:val="Heading3"/>
        <w:tabs>
          <w:tab w:val="clear" w:pos="851"/>
          <w:tab w:val="left" w:pos="1134"/>
        </w:tabs>
        <w:ind w:left="1134" w:hanging="1134"/>
        <w:rPr>
          <w:rFonts w:cs="Arial"/>
          <w:lang w:eastAsia="en-GB"/>
        </w:rPr>
      </w:pPr>
      <w:r>
        <w:rPr>
          <w:rFonts w:cs="Arial"/>
          <w:lang w:eastAsia="en-GB"/>
        </w:rPr>
        <w:t>R</w:t>
      </w:r>
      <w:r w:rsidR="00D27FF7" w:rsidRPr="00EA4E25">
        <w:rPr>
          <w:rFonts w:cs="Arial"/>
          <w:lang w:eastAsia="en-GB"/>
        </w:rPr>
        <w:t>ow 20</w:t>
      </w:r>
      <w:r>
        <w:rPr>
          <w:rFonts w:cs="Arial"/>
          <w:lang w:eastAsia="en-GB"/>
        </w:rPr>
        <w:t xml:space="preserve"> is a</w:t>
      </w:r>
      <w:r w:rsidRPr="00EA4E25">
        <w:rPr>
          <w:rFonts w:cs="Arial"/>
          <w:lang w:eastAsia="en-GB"/>
        </w:rPr>
        <w:t xml:space="preserve"> calculated field</w:t>
      </w:r>
      <w:r>
        <w:rPr>
          <w:rFonts w:cs="Arial"/>
          <w:lang w:eastAsia="en-GB"/>
        </w:rPr>
        <w:t xml:space="preserve"> that </w:t>
      </w:r>
      <w:r w:rsidR="00D27FF7" w:rsidRPr="00EA4E25">
        <w:rPr>
          <w:rFonts w:cs="Arial"/>
          <w:lang w:eastAsia="en-GB"/>
        </w:rPr>
        <w:t>indicate</w:t>
      </w:r>
      <w:r>
        <w:rPr>
          <w:rFonts w:cs="Arial"/>
          <w:lang w:eastAsia="en-GB"/>
        </w:rPr>
        <w:t>s</w:t>
      </w:r>
      <w:r w:rsidR="00D27FF7" w:rsidRPr="00EA4E25">
        <w:rPr>
          <w:rFonts w:cs="Arial"/>
          <w:lang w:eastAsia="en-GB"/>
        </w:rPr>
        <w:t xml:space="preserve"> the Gross Combined ratio</w:t>
      </w:r>
      <w:r>
        <w:rPr>
          <w:rFonts w:cs="Arial"/>
          <w:lang w:eastAsia="en-GB"/>
        </w:rPr>
        <w:t>:</w:t>
      </w:r>
    </w:p>
    <w:p w:rsidR="00D27FF7" w:rsidRPr="00111F9B" w:rsidRDefault="00D27FF7" w:rsidP="00235165">
      <w:pPr>
        <w:pStyle w:val="Heading3"/>
        <w:numPr>
          <w:ilvl w:val="0"/>
          <w:numId w:val="0"/>
        </w:numPr>
        <w:tabs>
          <w:tab w:val="clear" w:pos="851"/>
          <w:tab w:val="left" w:pos="1134"/>
        </w:tabs>
        <w:ind w:left="1134"/>
        <w:rPr>
          <w:rFonts w:cs="Arial"/>
          <w:lang w:eastAsia="en-GB"/>
        </w:rPr>
      </w:pPr>
      <w:r w:rsidRPr="00111F9B">
        <w:rPr>
          <w:rFonts w:cs="Arial"/>
          <w:lang w:eastAsia="en-GB"/>
        </w:rPr>
        <w:t>[(Gross claims + Gross Acquisition costs + Admin expenses)/Gross Written premium]</w:t>
      </w:r>
    </w:p>
    <w:p w:rsidR="00773811" w:rsidRDefault="00773811">
      <w:r>
        <w:br w:type="page"/>
      </w:r>
    </w:p>
    <w:p w:rsidR="00911DE6" w:rsidRPr="00111F9B" w:rsidRDefault="00911DE6" w:rsidP="00911DE6"/>
    <w:p w:rsidR="00D237B3" w:rsidRPr="00111F9B" w:rsidRDefault="00CC42C9" w:rsidP="00D237B3">
      <w:pPr>
        <w:pStyle w:val="Heading1"/>
        <w:tabs>
          <w:tab w:val="clear" w:pos="783"/>
          <w:tab w:val="left" w:pos="1134"/>
        </w:tabs>
        <w:ind w:left="1134" w:hanging="1134"/>
      </w:pPr>
      <w:bookmarkStart w:id="85" w:name="_Toc452126169"/>
      <w:r w:rsidRPr="00111F9B">
        <w:t>SBF105 UNDERWRITING YEAR OF ACCOUNT PERFORMANCE FORECAST</w:t>
      </w:r>
      <w:bookmarkEnd w:id="81"/>
      <w:bookmarkEnd w:id="82"/>
      <w:r w:rsidR="00D237B3" w:rsidRPr="00111F9B">
        <w:t xml:space="preserve"> and SBF105</w:t>
      </w:r>
      <w:r w:rsidR="00395FAB" w:rsidRPr="00111F9B">
        <w:t>S</w:t>
      </w:r>
      <w:r w:rsidR="00D237B3" w:rsidRPr="00111F9B">
        <w:t xml:space="preserve"> UNDERWRITING YEAR OF ACCOUNT PERFORMANCE FORECAST SUMMARY FOR ALL DISTRIBUTION CHANNELS</w:t>
      </w:r>
      <w:bookmarkEnd w:id="85"/>
    </w:p>
    <w:p w:rsidR="00911DE6" w:rsidRPr="00EA4E25" w:rsidRDefault="00911DE6" w:rsidP="00911DE6"/>
    <w:p w:rsidR="00CC42C9" w:rsidRPr="00111F9B" w:rsidRDefault="005F6C97" w:rsidP="000C2C36">
      <w:pPr>
        <w:pStyle w:val="Heading2"/>
        <w:tabs>
          <w:tab w:val="num" w:pos="1134"/>
        </w:tabs>
        <w:ind w:left="0" w:firstLine="0"/>
      </w:pPr>
      <w:bookmarkStart w:id="86" w:name="_Toc89825872"/>
      <w:bookmarkStart w:id="87" w:name="_Toc89826835"/>
      <w:r w:rsidRPr="00EA4E25">
        <w:t xml:space="preserve">      </w:t>
      </w:r>
      <w:r w:rsidR="00061345" w:rsidRPr="00EA4E25">
        <w:tab/>
      </w:r>
      <w:r w:rsidR="00CC42C9" w:rsidRPr="00111F9B">
        <w:rPr>
          <w:sz w:val="24"/>
          <w:szCs w:val="24"/>
        </w:rPr>
        <w:t>Summary</w:t>
      </w:r>
      <w:bookmarkEnd w:id="86"/>
      <w:bookmarkEnd w:id="87"/>
    </w:p>
    <w:p w:rsidR="00CC42C9" w:rsidRPr="00111F9B" w:rsidRDefault="006F0927" w:rsidP="006D3831">
      <w:pPr>
        <w:pStyle w:val="Heading3"/>
        <w:tabs>
          <w:tab w:val="clear" w:pos="851"/>
          <w:tab w:val="num" w:pos="1134"/>
        </w:tabs>
        <w:ind w:left="1134" w:hanging="1134"/>
      </w:pPr>
      <w:r w:rsidRPr="00111F9B">
        <w:t xml:space="preserve">For each </w:t>
      </w:r>
      <w:r w:rsidR="00BB1EBC" w:rsidRPr="00111F9B">
        <w:t>d</w:t>
      </w:r>
      <w:r w:rsidR="0041624F" w:rsidRPr="00111F9B">
        <w:t xml:space="preserve">istribution </w:t>
      </w:r>
      <w:r w:rsidR="004C3B91" w:rsidRPr="00111F9B">
        <w:t>channel</w:t>
      </w:r>
      <w:r w:rsidRPr="00111F9B">
        <w:t>, t</w:t>
      </w:r>
      <w:r w:rsidR="00753537" w:rsidRPr="00111F9B">
        <w:t xml:space="preserve">his </w:t>
      </w:r>
      <w:r w:rsidR="001F66F5" w:rsidRPr="00111F9B">
        <w:t>form</w:t>
      </w:r>
      <w:r w:rsidR="00753537" w:rsidRPr="00111F9B">
        <w:t xml:space="preserve"> </w:t>
      </w:r>
      <w:r w:rsidR="00CC42C9" w:rsidRPr="00111F9B">
        <w:t>provide</w:t>
      </w:r>
      <w:r w:rsidR="00753537" w:rsidRPr="00111F9B">
        <w:t>s</w:t>
      </w:r>
      <w:r w:rsidR="00CC42C9" w:rsidRPr="00111F9B">
        <w:t xml:space="preserve"> </w:t>
      </w:r>
      <w:r w:rsidRPr="00111F9B">
        <w:t xml:space="preserve">a </w:t>
      </w:r>
      <w:r w:rsidR="00CC42C9" w:rsidRPr="00111F9B">
        <w:t xml:space="preserve">forecast of underwriting performance for each </w:t>
      </w:r>
      <w:r w:rsidR="00B96092" w:rsidRPr="00111F9B">
        <w:t>class of business</w:t>
      </w:r>
      <w:r w:rsidR="00CC42C9" w:rsidRPr="00111F9B">
        <w:t xml:space="preserve"> that </w:t>
      </w:r>
      <w:r w:rsidR="00040248" w:rsidRPr="00111F9B">
        <w:t xml:space="preserve">the syndicate writes or </w:t>
      </w:r>
      <w:r w:rsidR="00CC42C9" w:rsidRPr="00111F9B">
        <w:t>intend</w:t>
      </w:r>
      <w:r w:rsidR="00040248" w:rsidRPr="00111F9B">
        <w:t>s</w:t>
      </w:r>
      <w:r w:rsidR="00CC42C9" w:rsidRPr="00111F9B">
        <w:t xml:space="preserve"> to write, as defined internally by the syndicate for </w:t>
      </w:r>
      <w:r w:rsidR="00040248" w:rsidRPr="00111F9B">
        <w:t xml:space="preserve">the </w:t>
      </w:r>
      <w:r w:rsidR="006632E9" w:rsidRPr="00111F9B">
        <w:t>prospective</w:t>
      </w:r>
      <w:r w:rsidR="00CC42C9" w:rsidRPr="00111F9B">
        <w:t xml:space="preserve"> year of account. </w:t>
      </w:r>
      <w:r w:rsidR="00E93744" w:rsidRPr="00111F9B">
        <w:t>For the</w:t>
      </w:r>
      <w:r w:rsidR="00564A19" w:rsidRPr="00111F9B">
        <w:t xml:space="preserve"> </w:t>
      </w:r>
      <w:r w:rsidR="00F70E93" w:rsidRPr="00111F9B">
        <w:t xml:space="preserve">Europe distribution channel syndicates need to submit a </w:t>
      </w:r>
      <w:r w:rsidR="00B21D3C" w:rsidRPr="00235165">
        <w:t xml:space="preserve">supplementary </w:t>
      </w:r>
      <w:r w:rsidR="00F70E93" w:rsidRPr="00111F9B">
        <w:t>spreadsheet for business placed in Europe by</w:t>
      </w:r>
      <w:r w:rsidR="001E55F4">
        <w:t xml:space="preserve"> syndicate</w:t>
      </w:r>
      <w:r w:rsidR="00F70E93" w:rsidRPr="00111F9B">
        <w:t xml:space="preserve"> class of business and countries</w:t>
      </w:r>
      <w:r w:rsidR="00773811" w:rsidRPr="00235165">
        <w:t>.</w:t>
      </w:r>
    </w:p>
    <w:p w:rsidR="00D237B3" w:rsidRPr="00EA4E25" w:rsidRDefault="00D237B3" w:rsidP="006D3831">
      <w:pPr>
        <w:pStyle w:val="Heading3"/>
        <w:tabs>
          <w:tab w:val="clear" w:pos="851"/>
          <w:tab w:val="num" w:pos="1134"/>
        </w:tabs>
        <w:ind w:left="1134" w:hanging="1134"/>
        <w:rPr>
          <w:color w:val="auto"/>
        </w:rPr>
      </w:pPr>
      <w:r w:rsidRPr="00EA4E25">
        <w:rPr>
          <w:rFonts w:cs="Arial"/>
          <w:lang w:eastAsia="en-GB"/>
        </w:rPr>
        <w:t>SBF105s Underwriting Year of Account Performance Forecast Summary</w:t>
      </w:r>
      <w:r w:rsidR="00E04A23" w:rsidRPr="00EA4E25">
        <w:rPr>
          <w:rFonts w:cs="Arial"/>
          <w:lang w:eastAsia="en-GB"/>
        </w:rPr>
        <w:t xml:space="preserve"> </w:t>
      </w:r>
      <w:r w:rsidRPr="00EA4E25">
        <w:rPr>
          <w:rFonts w:cs="Arial"/>
          <w:lang w:eastAsia="en-GB"/>
        </w:rPr>
        <w:t>shows the summary for all distribution channels. This form is automatically populated.</w:t>
      </w:r>
    </w:p>
    <w:p w:rsidR="007838DA" w:rsidRPr="00EA4E25" w:rsidRDefault="005771EA" w:rsidP="000C2C36">
      <w:pPr>
        <w:pStyle w:val="Heading2"/>
        <w:tabs>
          <w:tab w:val="num" w:pos="1134"/>
        </w:tabs>
        <w:ind w:left="0" w:firstLine="0"/>
      </w:pPr>
      <w:bookmarkStart w:id="88" w:name="_Toc89825873"/>
      <w:bookmarkStart w:id="89" w:name="_Toc89826836"/>
      <w:bookmarkStart w:id="90" w:name="Eva_check_columns_reference"/>
      <w:r w:rsidRPr="00EA4E25">
        <w:t xml:space="preserve">       </w:t>
      </w:r>
      <w:r w:rsidR="00061345" w:rsidRPr="00EA4E25">
        <w:tab/>
      </w:r>
      <w:r w:rsidR="00CC42C9" w:rsidRPr="00EA4E25">
        <w:rPr>
          <w:sz w:val="24"/>
          <w:szCs w:val="24"/>
        </w:rPr>
        <w:t>Key Points</w:t>
      </w:r>
      <w:bookmarkEnd w:id="88"/>
      <w:bookmarkEnd w:id="89"/>
    </w:p>
    <w:bookmarkEnd w:id="90"/>
    <w:p w:rsidR="0020148F" w:rsidRPr="00EA4E25" w:rsidRDefault="0020148F" w:rsidP="006D3831">
      <w:pPr>
        <w:pStyle w:val="Heading3"/>
        <w:tabs>
          <w:tab w:val="clear" w:pos="851"/>
          <w:tab w:val="num" w:pos="1134"/>
        </w:tabs>
        <w:ind w:left="1134" w:hanging="1134"/>
      </w:pPr>
      <w:r w:rsidRPr="00EA4E25">
        <w:t xml:space="preserve">This form should be reported on a pure year of account at ultimate basis. </w:t>
      </w:r>
    </w:p>
    <w:p w:rsidR="00CC42C9" w:rsidRPr="00EA4E25" w:rsidRDefault="00CC42C9" w:rsidP="006D3831">
      <w:pPr>
        <w:pStyle w:val="Heading3"/>
        <w:tabs>
          <w:tab w:val="clear" w:pos="851"/>
          <w:tab w:val="num" w:pos="1134"/>
        </w:tabs>
        <w:ind w:left="1134" w:hanging="1134"/>
        <w:rPr>
          <w:color w:val="auto"/>
        </w:rPr>
      </w:pPr>
      <w:r w:rsidRPr="00EA4E25">
        <w:t xml:space="preserve">Entries must be made for the relevant classes of business in CNV only; any changes to the currency make-up of a </w:t>
      </w:r>
      <w:r w:rsidR="00B96092" w:rsidRPr="00EA4E25">
        <w:t>class of business</w:t>
      </w:r>
      <w:r w:rsidRPr="00EA4E25">
        <w:t xml:space="preserve"> throughout the duration of the reporting cycle should be reported through relevant changes to the risk co</w:t>
      </w:r>
      <w:r w:rsidR="00367325" w:rsidRPr="00EA4E25">
        <w:t xml:space="preserve">de currency mapping in </w:t>
      </w:r>
      <w:r w:rsidR="00367325" w:rsidRPr="00EA4E25">
        <w:rPr>
          <w:color w:val="auto"/>
        </w:rPr>
        <w:t>SBF051.</w:t>
      </w:r>
    </w:p>
    <w:p w:rsidR="00D95571" w:rsidRPr="00EA4E25" w:rsidRDefault="00CC42C9" w:rsidP="006D3831">
      <w:pPr>
        <w:pStyle w:val="Heading3"/>
        <w:tabs>
          <w:tab w:val="clear" w:pos="851"/>
          <w:tab w:val="num" w:pos="1134"/>
        </w:tabs>
        <w:ind w:left="1134" w:hanging="1134"/>
        <w:rPr>
          <w:color w:val="auto"/>
        </w:rPr>
      </w:pPr>
      <w:r w:rsidRPr="00EA4E25">
        <w:rPr>
          <w:color w:val="auto"/>
        </w:rPr>
        <w:t xml:space="preserve">Each </w:t>
      </w:r>
      <w:r w:rsidR="00B96092" w:rsidRPr="00EA4E25">
        <w:rPr>
          <w:color w:val="auto"/>
        </w:rPr>
        <w:t>class of business</w:t>
      </w:r>
      <w:r w:rsidRPr="00EA4E25">
        <w:rPr>
          <w:color w:val="auto"/>
        </w:rPr>
        <w:t xml:space="preserve"> currently selected in the </w:t>
      </w:r>
      <w:r w:rsidR="0041624F" w:rsidRPr="00EA4E25">
        <w:rPr>
          <w:color w:val="auto"/>
        </w:rPr>
        <w:t>‘</w:t>
      </w:r>
      <w:r w:rsidR="00B96092" w:rsidRPr="00EA4E25">
        <w:rPr>
          <w:color w:val="auto"/>
        </w:rPr>
        <w:t>class of business</w:t>
      </w:r>
      <w:r w:rsidRPr="00EA4E25">
        <w:rPr>
          <w:color w:val="auto"/>
        </w:rPr>
        <w:t xml:space="preserve"> </w:t>
      </w:r>
      <w:r w:rsidR="0041624F" w:rsidRPr="00EA4E25">
        <w:rPr>
          <w:color w:val="auto"/>
        </w:rPr>
        <w:t>d</w:t>
      </w:r>
      <w:r w:rsidRPr="00EA4E25">
        <w:rPr>
          <w:color w:val="auto"/>
        </w:rPr>
        <w:t>escription</w:t>
      </w:r>
      <w:r w:rsidR="0041624F" w:rsidRPr="00EA4E25">
        <w:rPr>
          <w:color w:val="auto"/>
        </w:rPr>
        <w:t>’</w:t>
      </w:r>
      <w:r w:rsidRPr="00EA4E25">
        <w:rPr>
          <w:color w:val="auto"/>
        </w:rPr>
        <w:t xml:space="preserve"> section (SBF050) as part of </w:t>
      </w:r>
      <w:r w:rsidR="00040248" w:rsidRPr="00EA4E25">
        <w:rPr>
          <w:color w:val="auto"/>
        </w:rPr>
        <w:t xml:space="preserve">the </w:t>
      </w:r>
      <w:r w:rsidRPr="00EA4E25">
        <w:rPr>
          <w:color w:val="auto"/>
        </w:rPr>
        <w:t xml:space="preserve">business forecast will be added to this section and each entry must be completed in full. </w:t>
      </w:r>
      <w:r w:rsidR="00D95571" w:rsidRPr="00EA4E25">
        <w:rPr>
          <w:color w:val="auto"/>
        </w:rPr>
        <w:t xml:space="preserve">If a </w:t>
      </w:r>
      <w:r w:rsidR="00B96092" w:rsidRPr="00EA4E25">
        <w:rPr>
          <w:color w:val="auto"/>
        </w:rPr>
        <w:t>class of business</w:t>
      </w:r>
      <w:r w:rsidR="00D95571" w:rsidRPr="00EA4E25">
        <w:rPr>
          <w:color w:val="auto"/>
        </w:rPr>
        <w:t xml:space="preserve"> has not been selected in </w:t>
      </w:r>
      <w:r w:rsidR="0041624F" w:rsidRPr="00EA4E25">
        <w:rPr>
          <w:color w:val="auto"/>
        </w:rPr>
        <w:t>S</w:t>
      </w:r>
      <w:r w:rsidR="00D95571" w:rsidRPr="00EA4E25">
        <w:rPr>
          <w:color w:val="auto"/>
        </w:rPr>
        <w:t>BF050 then it will not appear on this section.</w:t>
      </w:r>
    </w:p>
    <w:p w:rsidR="005F3CA3" w:rsidRPr="00111F9B" w:rsidRDefault="005F3CA3" w:rsidP="006D3831">
      <w:pPr>
        <w:pStyle w:val="Heading3"/>
        <w:tabs>
          <w:tab w:val="clear" w:pos="851"/>
          <w:tab w:val="num" w:pos="1134"/>
        </w:tabs>
        <w:ind w:left="1134" w:hanging="1134"/>
        <w:rPr>
          <w:color w:val="auto"/>
        </w:rPr>
      </w:pPr>
      <w:r w:rsidRPr="00EA4E25">
        <w:rPr>
          <w:color w:val="auto"/>
        </w:rPr>
        <w:t>This form includes a column for expected reinstatement premiums on an inwards basis (column Ca</w:t>
      </w:r>
      <w:r w:rsidRPr="00111F9B">
        <w:rPr>
          <w:color w:val="auto"/>
        </w:rPr>
        <w:t xml:space="preserve">). The premium in this column is a subset of the total gross premiums written (column C). </w:t>
      </w:r>
    </w:p>
    <w:p w:rsidR="00281D26" w:rsidRPr="00111F9B" w:rsidRDefault="009E3D10" w:rsidP="006D3831">
      <w:pPr>
        <w:pStyle w:val="Heading3"/>
        <w:tabs>
          <w:tab w:val="clear" w:pos="851"/>
          <w:tab w:val="num" w:pos="1134"/>
        </w:tabs>
        <w:ind w:left="1134" w:hanging="1134"/>
        <w:rPr>
          <w:color w:val="auto"/>
        </w:rPr>
      </w:pPr>
      <w:r w:rsidRPr="00111F9B">
        <w:rPr>
          <w:color w:val="auto"/>
        </w:rPr>
        <w:t>“</w:t>
      </w:r>
      <w:r w:rsidR="00E353B7" w:rsidRPr="00111F9B">
        <w:rPr>
          <w:color w:val="auto"/>
        </w:rPr>
        <w:t>Outwards</w:t>
      </w:r>
      <w:r w:rsidR="00281D26" w:rsidRPr="00111F9B">
        <w:rPr>
          <w:color w:val="auto"/>
        </w:rPr>
        <w:t xml:space="preserve"> Reinsurance Premium Ceded to SPA” </w:t>
      </w:r>
      <w:r w:rsidR="00613739" w:rsidRPr="00111F9B">
        <w:rPr>
          <w:color w:val="auto"/>
        </w:rPr>
        <w:t>indicates</w:t>
      </w:r>
      <w:r w:rsidR="00281D26" w:rsidRPr="00111F9B">
        <w:rPr>
          <w:color w:val="auto"/>
        </w:rPr>
        <w:t xml:space="preserve"> the premium ceded to SPAs (column D). This field should be used to report the reinsurance premium expected to be ceded to Special Purpose Arrangement (SPA) syndicates, gross / before any deduction for reinsurance commission (ceding, overriding) or profit participations received (which should be reported separately within columns ‘Ia’ and ‘Ib’). The gross reinsurance premium ceded to SPAs should be calculated in a manner consistent with the terms of the reinsurance contract, and not artificially grossed up or netted down. </w:t>
      </w:r>
      <w:r w:rsidR="00070DA8" w:rsidRPr="00111F9B">
        <w:rPr>
          <w:color w:val="auto"/>
        </w:rPr>
        <w:t xml:space="preserve">This should correspond with the Gross Written Premium reported for the SPA(s). </w:t>
      </w:r>
    </w:p>
    <w:p w:rsidR="00941277" w:rsidRPr="00EA4E25" w:rsidRDefault="00281D26" w:rsidP="006D3831">
      <w:pPr>
        <w:pStyle w:val="Heading3"/>
        <w:tabs>
          <w:tab w:val="clear" w:pos="851"/>
          <w:tab w:val="num" w:pos="1134"/>
        </w:tabs>
        <w:ind w:left="1134" w:hanging="1134"/>
        <w:rPr>
          <w:color w:val="auto"/>
        </w:rPr>
      </w:pPr>
      <w:r w:rsidRPr="00EA4E25">
        <w:rPr>
          <w:color w:val="auto"/>
        </w:rPr>
        <w:t xml:space="preserve">“Other Outwards Reinsurance Premiums” (column E) should be used to report the reinsurance premium expected to be ceded to all reinsurers </w:t>
      </w:r>
      <w:r w:rsidRPr="00EA4E25">
        <w:rPr>
          <w:color w:val="auto"/>
          <w:u w:val="single"/>
        </w:rPr>
        <w:t>other</w:t>
      </w:r>
      <w:r w:rsidRPr="00EA4E25">
        <w:rPr>
          <w:color w:val="auto"/>
        </w:rPr>
        <w:t xml:space="preserve"> than </w:t>
      </w:r>
      <w:r w:rsidR="00070DA8" w:rsidRPr="00EA4E25">
        <w:rPr>
          <w:color w:val="auto"/>
        </w:rPr>
        <w:t xml:space="preserve">the cession to the </w:t>
      </w:r>
      <w:r w:rsidRPr="00EA4E25">
        <w:rPr>
          <w:color w:val="auto"/>
        </w:rPr>
        <w:t>SPA (see column D)</w:t>
      </w:r>
      <w:r w:rsidR="00070DA8" w:rsidRPr="00EA4E25">
        <w:rPr>
          <w:color w:val="auto"/>
        </w:rPr>
        <w:t>,</w:t>
      </w:r>
      <w:r w:rsidRPr="00EA4E25">
        <w:rPr>
          <w:color w:val="auto"/>
        </w:rPr>
        <w:t xml:space="preserve"> gross / before any deduction for reinsurance commission (ceding, overriding) or profit participations received (which should be reported separately within columns ‘Ia’ and ‘Ib’), including expected reinstatement premiums to be paid for outwards reinsurance. </w:t>
      </w:r>
    </w:p>
    <w:p w:rsidR="009E3D10" w:rsidRPr="00EA4E25" w:rsidRDefault="00281D26" w:rsidP="006D3831">
      <w:pPr>
        <w:pStyle w:val="Heading3"/>
        <w:tabs>
          <w:tab w:val="clear" w:pos="851"/>
          <w:tab w:val="num" w:pos="1134"/>
        </w:tabs>
        <w:ind w:left="1134" w:hanging="1134"/>
        <w:rPr>
          <w:color w:val="auto"/>
        </w:rPr>
      </w:pPr>
      <w:r w:rsidRPr="00EA4E25" w:rsidDel="00281D26">
        <w:rPr>
          <w:color w:val="auto"/>
        </w:rPr>
        <w:t xml:space="preserve"> </w:t>
      </w:r>
      <w:r w:rsidR="008E308F" w:rsidRPr="00EA4E25">
        <w:rPr>
          <w:color w:val="auto"/>
        </w:rPr>
        <w:t>“Outwards reinstatement premiums” (column Ea), is a subset of column E and should be used to report how much of column E relates to expected reinstatement premiums due to reinsurers as result of planned recoveries from outwards reinsurance contracts.</w:t>
      </w:r>
    </w:p>
    <w:p w:rsidR="005F3CA3" w:rsidRPr="00EA4E25" w:rsidRDefault="009677FA" w:rsidP="006D3831">
      <w:pPr>
        <w:pStyle w:val="Heading3"/>
        <w:tabs>
          <w:tab w:val="clear" w:pos="851"/>
          <w:tab w:val="num" w:pos="1134"/>
        </w:tabs>
        <w:ind w:left="1134" w:hanging="1134"/>
        <w:rPr>
          <w:color w:val="auto"/>
        </w:rPr>
      </w:pPr>
      <w:r w:rsidRPr="00EA4E25">
        <w:rPr>
          <w:color w:val="auto"/>
        </w:rPr>
        <w:t xml:space="preserve">Any planned reinsurance premium associated with multi-class or whole account reinsurance protections should be allocated across the classes </w:t>
      </w:r>
      <w:r w:rsidR="000B6CB9" w:rsidRPr="00EA4E25">
        <w:rPr>
          <w:color w:val="auto"/>
        </w:rPr>
        <w:t xml:space="preserve">of business </w:t>
      </w:r>
      <w:r w:rsidRPr="00EA4E25">
        <w:rPr>
          <w:color w:val="auto"/>
        </w:rPr>
        <w:t>protected</w:t>
      </w:r>
      <w:r w:rsidR="000B6CB9" w:rsidRPr="00EA4E25">
        <w:rPr>
          <w:color w:val="auto"/>
        </w:rPr>
        <w:t>,</w:t>
      </w:r>
      <w:r w:rsidRPr="00EA4E25">
        <w:rPr>
          <w:color w:val="auto"/>
        </w:rPr>
        <w:t xml:space="preserve"> in proportions that best reflect</w:t>
      </w:r>
      <w:r w:rsidR="000B6CB9" w:rsidRPr="00EA4E25">
        <w:rPr>
          <w:color w:val="auto"/>
        </w:rPr>
        <w:t xml:space="preserve"> the likely cost allocation method to be used when purchased, e.g. income </w:t>
      </w:r>
      <w:r w:rsidR="00C820DE" w:rsidRPr="00EA4E25">
        <w:rPr>
          <w:color w:val="auto"/>
        </w:rPr>
        <w:t>weighted</w:t>
      </w:r>
      <w:r w:rsidR="000B6CB9" w:rsidRPr="00EA4E25">
        <w:rPr>
          <w:color w:val="auto"/>
        </w:rPr>
        <w:t xml:space="preserve"> exposure / loss contribution.</w:t>
      </w:r>
      <w:r w:rsidR="005F3CA3" w:rsidRPr="00EA4E25">
        <w:rPr>
          <w:color w:val="auto"/>
        </w:rPr>
        <w:t xml:space="preserve"> </w:t>
      </w:r>
    </w:p>
    <w:p w:rsidR="005F3CA3" w:rsidRPr="00EA4E25" w:rsidRDefault="00C820DE" w:rsidP="005F3CA3">
      <w:pPr>
        <w:pStyle w:val="Heading3"/>
        <w:numPr>
          <w:ilvl w:val="0"/>
          <w:numId w:val="0"/>
        </w:numPr>
        <w:tabs>
          <w:tab w:val="clear" w:pos="851"/>
          <w:tab w:val="left" w:pos="1134"/>
        </w:tabs>
        <w:ind w:left="1134"/>
        <w:rPr>
          <w:color w:val="auto"/>
          <w:u w:val="single"/>
        </w:rPr>
      </w:pPr>
      <w:r w:rsidRPr="00EA4E25">
        <w:rPr>
          <w:color w:val="auto"/>
          <w:u w:val="single"/>
        </w:rPr>
        <w:t>It is no</w:t>
      </w:r>
      <w:r w:rsidR="00281D26" w:rsidRPr="00EA4E25">
        <w:rPr>
          <w:color w:val="auto"/>
          <w:u w:val="single"/>
        </w:rPr>
        <w:t xml:space="preserve">t </w:t>
      </w:r>
      <w:r w:rsidRPr="00EA4E25">
        <w:rPr>
          <w:color w:val="auto"/>
          <w:u w:val="single"/>
        </w:rPr>
        <w:t xml:space="preserve">permitted to </w:t>
      </w:r>
      <w:r w:rsidR="005F3CA3" w:rsidRPr="00EA4E25">
        <w:rPr>
          <w:color w:val="auto"/>
          <w:u w:val="single"/>
        </w:rPr>
        <w:t xml:space="preserve">enter </w:t>
      </w:r>
      <w:r w:rsidR="000B6CB9" w:rsidRPr="00EA4E25">
        <w:rPr>
          <w:color w:val="auto"/>
          <w:u w:val="single"/>
        </w:rPr>
        <w:t xml:space="preserve">a </w:t>
      </w:r>
      <w:r w:rsidR="005F3CA3" w:rsidRPr="00EA4E25">
        <w:rPr>
          <w:color w:val="auto"/>
          <w:u w:val="single"/>
        </w:rPr>
        <w:t>single outwards reinsurance amount as a separate class of business.</w:t>
      </w:r>
    </w:p>
    <w:p w:rsidR="00911DE6" w:rsidRPr="00EA4E25" w:rsidRDefault="00404972" w:rsidP="006D3831">
      <w:pPr>
        <w:pStyle w:val="Heading3"/>
        <w:tabs>
          <w:tab w:val="clear" w:pos="851"/>
          <w:tab w:val="num" w:pos="1134"/>
        </w:tabs>
        <w:ind w:left="1134" w:hanging="1134"/>
        <w:rPr>
          <w:color w:val="auto"/>
        </w:rPr>
      </w:pPr>
      <w:r w:rsidRPr="00EA4E25">
        <w:rPr>
          <w:color w:val="auto"/>
        </w:rPr>
        <w:t>Brokerage and commissions (F) exclude service company acquisition costs (G), business arrangement fees (H) and bonuses and rebates (J).</w:t>
      </w:r>
      <w:r w:rsidR="00281D26" w:rsidRPr="00EA4E25">
        <w:rPr>
          <w:color w:val="auto"/>
        </w:rPr>
        <w:t xml:space="preserve"> Reinsurance commission receivable under outwards reinsurance contracts which are calculated from this item should </w:t>
      </w:r>
      <w:r w:rsidR="00281D26" w:rsidRPr="00EA4E25">
        <w:rPr>
          <w:color w:val="auto"/>
          <w:u w:val="single"/>
        </w:rPr>
        <w:t>not</w:t>
      </w:r>
      <w:r w:rsidR="00281D26" w:rsidRPr="00EA4E25">
        <w:rPr>
          <w:color w:val="auto"/>
        </w:rPr>
        <w:t xml:space="preserve"> be deducted to show a net position; instead they should be reported separately in column Ia.     </w:t>
      </w:r>
    </w:p>
    <w:p w:rsidR="00CC42C9" w:rsidRPr="00EA4E25" w:rsidRDefault="00CC42C9" w:rsidP="006D3831">
      <w:pPr>
        <w:pStyle w:val="Heading3"/>
        <w:tabs>
          <w:tab w:val="clear" w:pos="851"/>
          <w:tab w:val="num" w:pos="1134"/>
        </w:tabs>
        <w:ind w:left="1134" w:hanging="1134"/>
        <w:rPr>
          <w:rFonts w:cs="Arial"/>
          <w:color w:val="auto"/>
        </w:rPr>
      </w:pPr>
      <w:r w:rsidRPr="00EA4E25">
        <w:rPr>
          <w:color w:val="auto"/>
        </w:rPr>
        <w:t xml:space="preserve">Business arrangement fees </w:t>
      </w:r>
      <w:r w:rsidR="00404972" w:rsidRPr="00EA4E25">
        <w:rPr>
          <w:color w:val="auto"/>
        </w:rPr>
        <w:t xml:space="preserve">(H) </w:t>
      </w:r>
      <w:r w:rsidRPr="00EA4E25">
        <w:rPr>
          <w:color w:val="auto"/>
        </w:rPr>
        <w:t xml:space="preserve">and service company acquisition costs </w:t>
      </w:r>
      <w:r w:rsidR="00404972" w:rsidRPr="00EA4E25">
        <w:rPr>
          <w:color w:val="auto"/>
        </w:rPr>
        <w:t xml:space="preserve">(G) </w:t>
      </w:r>
      <w:r w:rsidRPr="00EA4E25">
        <w:rPr>
          <w:color w:val="auto"/>
        </w:rPr>
        <w:t xml:space="preserve">must be completed, irrespective of whether </w:t>
      </w:r>
      <w:r w:rsidR="0041624F" w:rsidRPr="00EA4E25">
        <w:rPr>
          <w:color w:val="auto"/>
        </w:rPr>
        <w:t>managing</w:t>
      </w:r>
      <w:r w:rsidRPr="00EA4E25">
        <w:rPr>
          <w:color w:val="auto"/>
        </w:rPr>
        <w:t xml:space="preserve"> agents treat these costs as admin</w:t>
      </w:r>
      <w:r w:rsidR="00753537" w:rsidRPr="00EA4E25">
        <w:rPr>
          <w:color w:val="auto"/>
        </w:rPr>
        <w:t>istrative</w:t>
      </w:r>
      <w:r w:rsidRPr="00EA4E25">
        <w:rPr>
          <w:color w:val="auto"/>
        </w:rPr>
        <w:t xml:space="preserve"> or acquisition expenses.</w:t>
      </w:r>
      <w:r w:rsidR="00404972" w:rsidRPr="00EA4E25">
        <w:rPr>
          <w:color w:val="auto"/>
        </w:rPr>
        <w:t xml:space="preserve"> They include </w:t>
      </w:r>
      <w:r w:rsidR="00404972" w:rsidRPr="00EA4E25">
        <w:rPr>
          <w:rFonts w:cs="Arial"/>
          <w:color w:val="auto"/>
        </w:rPr>
        <w:t>fees payable to brokers in addition to commissions and brokerage in respect of, for example, volume, profitability, management</w:t>
      </w:r>
      <w:r w:rsidR="0051554E" w:rsidRPr="00EA4E25">
        <w:rPr>
          <w:rFonts w:cs="Arial"/>
          <w:color w:val="auto"/>
        </w:rPr>
        <w:t xml:space="preserve"> </w:t>
      </w:r>
      <w:r w:rsidR="00404972" w:rsidRPr="00EA4E25">
        <w:rPr>
          <w:rFonts w:cs="Arial"/>
          <w:color w:val="auto"/>
        </w:rPr>
        <w:t>administration, marketing or processing functions (this is not an exhaustive list). Business Arrangement Fees are also kn</w:t>
      </w:r>
      <w:r w:rsidR="00031F41" w:rsidRPr="00EA4E25">
        <w:rPr>
          <w:rFonts w:cs="Arial"/>
          <w:color w:val="auto"/>
        </w:rPr>
        <w:t>own</w:t>
      </w:r>
      <w:r w:rsidR="00404972" w:rsidRPr="00EA4E25">
        <w:rPr>
          <w:rFonts w:cs="Arial"/>
          <w:color w:val="auto"/>
        </w:rPr>
        <w:t xml:space="preserve"> as </w:t>
      </w:r>
      <w:r w:rsidR="00B55C44" w:rsidRPr="00EA4E25">
        <w:rPr>
          <w:rFonts w:cs="Arial"/>
          <w:color w:val="auto"/>
        </w:rPr>
        <w:t>PSAs</w:t>
      </w:r>
      <w:r w:rsidR="00404972" w:rsidRPr="00EA4E25">
        <w:rPr>
          <w:rFonts w:cs="Arial"/>
          <w:color w:val="auto"/>
        </w:rPr>
        <w:t>, Market Service Agreements or Contingent Commissions</w:t>
      </w:r>
      <w:r w:rsidR="0051554E" w:rsidRPr="00EA4E25">
        <w:rPr>
          <w:rFonts w:cs="Arial"/>
          <w:color w:val="auto"/>
        </w:rPr>
        <w:t>.</w:t>
      </w:r>
      <w:r w:rsidR="008253F6" w:rsidRPr="00EA4E25">
        <w:rPr>
          <w:rFonts w:cs="Arial"/>
          <w:color w:val="auto"/>
        </w:rPr>
        <w:t xml:space="preserve"> Reinsurance commission receivable under outwards reinsurance contracts which are calculated from this item should </w:t>
      </w:r>
      <w:r w:rsidR="008253F6" w:rsidRPr="00EA4E25">
        <w:rPr>
          <w:rFonts w:cs="Arial"/>
          <w:color w:val="auto"/>
          <w:u w:val="single"/>
        </w:rPr>
        <w:t>not</w:t>
      </w:r>
      <w:r w:rsidR="008253F6" w:rsidRPr="00EA4E25">
        <w:rPr>
          <w:rFonts w:cs="Arial"/>
          <w:color w:val="auto"/>
        </w:rPr>
        <w:t xml:space="preserve"> be deducted to show a net position; instead they should be reported separately in column Ia.</w:t>
      </w:r>
    </w:p>
    <w:p w:rsidR="00624767" w:rsidRPr="00EA4E25" w:rsidRDefault="0029672A" w:rsidP="006D3831">
      <w:pPr>
        <w:pStyle w:val="Heading3"/>
        <w:tabs>
          <w:tab w:val="clear" w:pos="851"/>
          <w:tab w:val="num" w:pos="1134"/>
        </w:tabs>
        <w:ind w:left="1134" w:hanging="1134"/>
        <w:rPr>
          <w:color w:val="auto"/>
        </w:rPr>
      </w:pPr>
      <w:r w:rsidRPr="00EA4E25">
        <w:rPr>
          <w:rFonts w:cs="Arial"/>
          <w:color w:val="auto"/>
        </w:rPr>
        <w:t>The</w:t>
      </w:r>
      <w:r w:rsidR="00BB1C21" w:rsidRPr="00EA4E25">
        <w:rPr>
          <w:rFonts w:cs="Arial"/>
          <w:color w:val="auto"/>
        </w:rPr>
        <w:t xml:space="preserve"> SBF</w:t>
      </w:r>
      <w:r w:rsidR="00F313AD" w:rsidRPr="00EA4E25">
        <w:rPr>
          <w:rFonts w:cs="Arial"/>
          <w:color w:val="auto"/>
        </w:rPr>
        <w:t>105</w:t>
      </w:r>
      <w:r w:rsidRPr="00EA4E25">
        <w:rPr>
          <w:rFonts w:cs="Arial"/>
          <w:color w:val="auto"/>
        </w:rPr>
        <w:t xml:space="preserve"> t</w:t>
      </w:r>
      <w:r w:rsidR="006F0927" w:rsidRPr="00EA4E25">
        <w:rPr>
          <w:rFonts w:cs="Arial"/>
          <w:color w:val="auto"/>
        </w:rPr>
        <w:t xml:space="preserve">otal </w:t>
      </w:r>
      <w:r w:rsidR="00031F41" w:rsidRPr="00EA4E25">
        <w:rPr>
          <w:rFonts w:cs="Arial"/>
          <w:color w:val="auto"/>
        </w:rPr>
        <w:t>b</w:t>
      </w:r>
      <w:r w:rsidR="006F0927" w:rsidRPr="00EA4E25">
        <w:rPr>
          <w:rFonts w:cs="Arial"/>
          <w:color w:val="auto"/>
        </w:rPr>
        <w:t>rokerage and commissions (</w:t>
      </w:r>
      <w:r w:rsidRPr="00EA4E25">
        <w:rPr>
          <w:rFonts w:cs="Arial"/>
          <w:color w:val="auto"/>
        </w:rPr>
        <w:t xml:space="preserve">column </w:t>
      </w:r>
      <w:r w:rsidR="006F0927" w:rsidRPr="00EA4E25">
        <w:rPr>
          <w:rFonts w:cs="Arial"/>
          <w:color w:val="auto"/>
        </w:rPr>
        <w:t>F)</w:t>
      </w:r>
      <w:r w:rsidR="00B923A1" w:rsidRPr="00EA4E25">
        <w:rPr>
          <w:rFonts w:cs="Arial"/>
          <w:color w:val="auto"/>
        </w:rPr>
        <w:t xml:space="preserve"> plus </w:t>
      </w:r>
      <w:r w:rsidR="00624767" w:rsidRPr="00EA4E25">
        <w:rPr>
          <w:rFonts w:cs="Arial"/>
          <w:color w:val="auto"/>
        </w:rPr>
        <w:t xml:space="preserve">‘service company acquisition costs’ (column G) plus </w:t>
      </w:r>
      <w:r w:rsidR="00B923A1" w:rsidRPr="00EA4E25">
        <w:rPr>
          <w:rFonts w:cs="Arial"/>
          <w:color w:val="auto"/>
        </w:rPr>
        <w:t>‘</w:t>
      </w:r>
      <w:r w:rsidR="00EC6A41" w:rsidRPr="00EA4E25">
        <w:rPr>
          <w:rFonts w:cs="Arial"/>
          <w:color w:val="auto"/>
        </w:rPr>
        <w:t>Business Arrangement Fees’</w:t>
      </w:r>
      <w:r w:rsidR="004A20CD" w:rsidRPr="00EA4E25">
        <w:rPr>
          <w:rFonts w:cs="Arial"/>
          <w:color w:val="auto"/>
        </w:rPr>
        <w:t xml:space="preserve"> (column </w:t>
      </w:r>
      <w:r w:rsidR="003D53A8" w:rsidRPr="00EA4E25">
        <w:rPr>
          <w:rFonts w:cs="Arial"/>
          <w:color w:val="auto"/>
        </w:rPr>
        <w:t>H</w:t>
      </w:r>
      <w:r w:rsidR="004A20CD" w:rsidRPr="00EA4E25">
        <w:rPr>
          <w:rFonts w:cs="Arial"/>
          <w:color w:val="auto"/>
        </w:rPr>
        <w:t>)</w:t>
      </w:r>
      <w:r w:rsidR="00F313AD" w:rsidRPr="00EA4E25">
        <w:rPr>
          <w:rFonts w:cs="Arial"/>
          <w:color w:val="auto"/>
        </w:rPr>
        <w:t xml:space="preserve"> plus ‘Bonuses and Rebates, Gross of Reinsurance’ (Column J)</w:t>
      </w:r>
      <w:r w:rsidR="004A20CD" w:rsidRPr="00EA4E25">
        <w:rPr>
          <w:rFonts w:cs="Arial"/>
          <w:color w:val="auto"/>
        </w:rPr>
        <w:t xml:space="preserve"> </w:t>
      </w:r>
      <w:r w:rsidR="006F0927" w:rsidRPr="00EA4E25">
        <w:rPr>
          <w:rFonts w:cs="Arial"/>
          <w:color w:val="auto"/>
        </w:rPr>
        <w:t xml:space="preserve">should reconcile to </w:t>
      </w:r>
      <w:r w:rsidR="00031F41" w:rsidRPr="00EA4E25">
        <w:rPr>
          <w:rFonts w:cs="Arial"/>
          <w:color w:val="auto"/>
        </w:rPr>
        <w:t>a</w:t>
      </w:r>
      <w:r w:rsidR="006F0927" w:rsidRPr="00EA4E25">
        <w:rPr>
          <w:rFonts w:cs="Arial"/>
          <w:color w:val="auto"/>
        </w:rPr>
        <w:t>cquisition costs reported in line 11a in SBF100</w:t>
      </w:r>
      <w:r w:rsidR="00BB1C21" w:rsidRPr="00EA4E25">
        <w:rPr>
          <w:rFonts w:cs="Arial"/>
          <w:color w:val="auto"/>
        </w:rPr>
        <w:t>.</w:t>
      </w:r>
    </w:p>
    <w:p w:rsidR="00624767" w:rsidRPr="00EA4E25" w:rsidRDefault="00624767" w:rsidP="00A96666">
      <w:pPr>
        <w:pStyle w:val="Heading3"/>
        <w:numPr>
          <w:ilvl w:val="0"/>
          <w:numId w:val="0"/>
        </w:numPr>
        <w:tabs>
          <w:tab w:val="clear" w:pos="851"/>
          <w:tab w:val="left" w:pos="1134"/>
        </w:tabs>
        <w:ind w:left="1134"/>
        <w:rPr>
          <w:color w:val="auto"/>
        </w:rPr>
      </w:pPr>
      <w:r w:rsidRPr="00EA4E25">
        <w:rPr>
          <w:color w:val="auto"/>
        </w:rPr>
        <w:t>(Form 105, column F plus column G plus column H</w:t>
      </w:r>
      <w:r w:rsidR="00F313AD" w:rsidRPr="00EA4E25">
        <w:rPr>
          <w:color w:val="auto"/>
        </w:rPr>
        <w:t xml:space="preserve"> plus column J</w:t>
      </w:r>
      <w:r w:rsidRPr="00EA4E25">
        <w:rPr>
          <w:color w:val="auto"/>
        </w:rPr>
        <w:t xml:space="preserve"> = Form 100, column C, row 11a)</w:t>
      </w:r>
    </w:p>
    <w:p w:rsidR="008E308F" w:rsidRPr="00EA4E25" w:rsidRDefault="003D53A8" w:rsidP="006D3831">
      <w:pPr>
        <w:pStyle w:val="Heading3"/>
        <w:tabs>
          <w:tab w:val="clear" w:pos="851"/>
          <w:tab w:val="num" w:pos="1134"/>
        </w:tabs>
        <w:ind w:left="1134" w:hanging="1134"/>
      </w:pPr>
      <w:r w:rsidRPr="00EA4E25">
        <w:t>“</w:t>
      </w:r>
      <w:r w:rsidR="00DC58EC" w:rsidRPr="00EA4E25">
        <w:t>Outwards reinsur</w:t>
      </w:r>
      <w:r w:rsidR="007D6351" w:rsidRPr="00EA4E25">
        <w:t>ance</w:t>
      </w:r>
      <w:r w:rsidRPr="00EA4E25">
        <w:t xml:space="preserve"> </w:t>
      </w:r>
      <w:r w:rsidR="00DC58EC" w:rsidRPr="00EA4E25">
        <w:t>commissions</w:t>
      </w:r>
      <w:r w:rsidR="006E4856" w:rsidRPr="00EA4E25">
        <w:t xml:space="preserve"> received</w:t>
      </w:r>
      <w:r w:rsidRPr="00EA4E25">
        <w:t>”</w:t>
      </w:r>
      <w:r w:rsidR="00DC58EC" w:rsidRPr="00EA4E25">
        <w:t xml:space="preserve"> </w:t>
      </w:r>
      <w:r w:rsidR="008E308F" w:rsidRPr="00EA4E25">
        <w:t xml:space="preserve">(column Ia) should be used to report commissions </w:t>
      </w:r>
      <w:r w:rsidR="000B6CB9" w:rsidRPr="00EA4E25">
        <w:t xml:space="preserve">expected to be </w:t>
      </w:r>
      <w:r w:rsidR="008E308F" w:rsidRPr="00EA4E25">
        <w:t xml:space="preserve">received from reinsurers </w:t>
      </w:r>
      <w:r w:rsidR="000B6CB9" w:rsidRPr="00EA4E25">
        <w:t>as part of outwards reinsurance contracts</w:t>
      </w:r>
      <w:r w:rsidR="008E308F" w:rsidRPr="00EA4E25">
        <w:t xml:space="preserve">. </w:t>
      </w:r>
      <w:r w:rsidR="00AB73D2" w:rsidRPr="00EA4E25">
        <w:t>This should relate only to amounts due from reinsurers under the terms of the outward reinsurance contract which represent commissions receivable, i.e. not premium adjustments or recover</w:t>
      </w:r>
      <w:r w:rsidR="005F3CA3" w:rsidRPr="00EA4E25">
        <w:t>y</w:t>
      </w:r>
      <w:r w:rsidR="00AB73D2" w:rsidRPr="00EA4E25">
        <w:t xml:space="preserve"> amounts. T</w:t>
      </w:r>
      <w:r w:rsidR="008E308F" w:rsidRPr="00EA4E25">
        <w:t>he total figures in th</w:t>
      </w:r>
      <w:r w:rsidR="00AB73D2" w:rsidRPr="00EA4E25">
        <w:t xml:space="preserve">ese columns should </w:t>
      </w:r>
      <w:r w:rsidR="008E308F" w:rsidRPr="00EA4E25">
        <w:t>reconcile with the corresponding totals within form 10</w:t>
      </w:r>
      <w:r w:rsidR="00AB73D2" w:rsidRPr="00EA4E25">
        <w:t>0</w:t>
      </w:r>
      <w:r w:rsidR="008E308F" w:rsidRPr="00EA4E25">
        <w:t xml:space="preserve"> in respect of the </w:t>
      </w:r>
      <w:r w:rsidR="005F3CA3" w:rsidRPr="00EA4E25">
        <w:t>line</w:t>
      </w:r>
      <w:r w:rsidR="008E308F" w:rsidRPr="00EA4E25">
        <w:t xml:space="preserve"> entitled “Outwards reinsurance commission received”</w:t>
      </w:r>
      <w:r w:rsidR="002E6BED" w:rsidRPr="00EA4E25">
        <w:t>.</w:t>
      </w:r>
      <w:r w:rsidR="008E308F" w:rsidRPr="00EA4E25">
        <w:t xml:space="preserve">  </w:t>
      </w:r>
    </w:p>
    <w:p w:rsidR="00CA4A5B" w:rsidRPr="00EA4E25" w:rsidRDefault="0041624F" w:rsidP="006D3831">
      <w:pPr>
        <w:pStyle w:val="Heading3"/>
        <w:tabs>
          <w:tab w:val="clear" w:pos="851"/>
          <w:tab w:val="num" w:pos="1134"/>
        </w:tabs>
        <w:ind w:left="1134" w:hanging="1134"/>
      </w:pPr>
      <w:r w:rsidRPr="00EA4E25">
        <w:t>“</w:t>
      </w:r>
      <w:r w:rsidR="008E308F" w:rsidRPr="00EA4E25">
        <w:t>O</w:t>
      </w:r>
      <w:r w:rsidR="003D53A8" w:rsidRPr="00EA4E25">
        <w:t xml:space="preserve">utwards reinsurance </w:t>
      </w:r>
      <w:r w:rsidR="00DC58EC" w:rsidRPr="00EA4E25">
        <w:t>profit participations</w:t>
      </w:r>
      <w:r w:rsidR="006E4856" w:rsidRPr="00EA4E25">
        <w:t xml:space="preserve"> received</w:t>
      </w:r>
      <w:r w:rsidR="003D53A8" w:rsidRPr="00EA4E25">
        <w:t>”</w:t>
      </w:r>
      <w:r w:rsidR="00DC58EC" w:rsidRPr="00EA4E25">
        <w:t xml:space="preserve"> (</w:t>
      </w:r>
      <w:r w:rsidRPr="00EA4E25">
        <w:t>c</w:t>
      </w:r>
      <w:r w:rsidR="00DC58EC" w:rsidRPr="00EA4E25">
        <w:t>olumn</w:t>
      </w:r>
      <w:r w:rsidR="002E6BED" w:rsidRPr="00EA4E25">
        <w:t xml:space="preserve"> </w:t>
      </w:r>
      <w:r w:rsidR="003D53A8" w:rsidRPr="00EA4E25">
        <w:t>Ib</w:t>
      </w:r>
      <w:r w:rsidR="00DC58EC" w:rsidRPr="00EA4E25">
        <w:t xml:space="preserve">) </w:t>
      </w:r>
      <w:r w:rsidR="008E308F" w:rsidRPr="00EA4E25">
        <w:t xml:space="preserve">should be used to report </w:t>
      </w:r>
      <w:r w:rsidR="00AB73D2" w:rsidRPr="00EA4E25">
        <w:t xml:space="preserve">amounts </w:t>
      </w:r>
      <w:r w:rsidR="000B6CB9" w:rsidRPr="00EA4E25">
        <w:t xml:space="preserve">expected to be </w:t>
      </w:r>
      <w:r w:rsidR="00AB73D2" w:rsidRPr="00EA4E25">
        <w:t>received from reinsurers a</w:t>
      </w:r>
      <w:r w:rsidR="000B6CB9" w:rsidRPr="00EA4E25">
        <w:t>s part of</w:t>
      </w:r>
      <w:r w:rsidR="00AB73D2" w:rsidRPr="00EA4E25">
        <w:t xml:space="preserve"> outwards reinsurance contracts which relate to profit participations. </w:t>
      </w:r>
      <w:r w:rsidR="005F3CA3" w:rsidRPr="00EA4E25">
        <w:t>This should relate o</w:t>
      </w:r>
      <w:r w:rsidR="00AB73D2" w:rsidRPr="00EA4E25">
        <w:t xml:space="preserve">nly </w:t>
      </w:r>
      <w:r w:rsidR="005F3CA3" w:rsidRPr="00EA4E25">
        <w:t xml:space="preserve">to </w:t>
      </w:r>
      <w:r w:rsidR="00AB73D2" w:rsidRPr="00EA4E25">
        <w:t xml:space="preserve">amounts due from reinsurers under the terms of the outward reinsurance contract which represent </w:t>
      </w:r>
      <w:r w:rsidR="005F3CA3" w:rsidRPr="00EA4E25">
        <w:t>profit participations receivable</w:t>
      </w:r>
      <w:r w:rsidR="00AB73D2" w:rsidRPr="00EA4E25">
        <w:t>,</w:t>
      </w:r>
      <w:r w:rsidR="000B6CB9" w:rsidRPr="00EA4E25">
        <w:t xml:space="preserve"> e.g. contractual terms which explicitly require the reinsurer to pay a portion of </w:t>
      </w:r>
      <w:r w:rsidR="00BD41AE" w:rsidRPr="00EA4E25">
        <w:t xml:space="preserve">its </w:t>
      </w:r>
      <w:r w:rsidR="000B6CB9" w:rsidRPr="00EA4E25">
        <w:t>profits made under the reinsurance contra</w:t>
      </w:r>
      <w:r w:rsidR="00BD41AE" w:rsidRPr="00EA4E25">
        <w:t xml:space="preserve">ct to the syndicate if the financial performance exceeds set criteria. It should </w:t>
      </w:r>
      <w:r w:rsidR="00AB73D2" w:rsidRPr="00EA4E25">
        <w:t xml:space="preserve">not </w:t>
      </w:r>
      <w:r w:rsidR="00BD41AE" w:rsidRPr="00EA4E25">
        <w:t xml:space="preserve">include </w:t>
      </w:r>
      <w:r w:rsidR="00AB73D2" w:rsidRPr="00EA4E25">
        <w:t>premium adjustments or recover</w:t>
      </w:r>
      <w:r w:rsidR="005F3CA3" w:rsidRPr="00EA4E25">
        <w:t>y</w:t>
      </w:r>
      <w:r w:rsidR="00AB73D2" w:rsidRPr="00EA4E25">
        <w:t xml:space="preserve"> amounts.</w:t>
      </w:r>
      <w:r w:rsidR="005F3CA3" w:rsidRPr="00EA4E25">
        <w:t xml:space="preserve"> The total figures in these columns should reconcile with the corre</w:t>
      </w:r>
      <w:r w:rsidR="00F313AD" w:rsidRPr="00EA4E25">
        <w:t>sponding totals within form 100</w:t>
      </w:r>
      <w:r w:rsidR="005F3CA3" w:rsidRPr="00EA4E25">
        <w:t xml:space="preserve"> in respect of the line entitled “Outwards reinsurance profit participations received”.   </w:t>
      </w:r>
      <w:r w:rsidR="00DC58EC" w:rsidRPr="00EA4E25">
        <w:t xml:space="preserve"> </w:t>
      </w:r>
    </w:p>
    <w:p w:rsidR="00B46A98" w:rsidRPr="00EA4E25" w:rsidRDefault="00D27FF7" w:rsidP="00AE1E77">
      <w:pPr>
        <w:pStyle w:val="Heading3"/>
        <w:tabs>
          <w:tab w:val="clear" w:pos="851"/>
          <w:tab w:val="num" w:pos="1134"/>
        </w:tabs>
        <w:ind w:left="1134" w:hanging="1134"/>
      </w:pPr>
      <w:r w:rsidRPr="00EA4E25">
        <w:t>A</w:t>
      </w:r>
      <w:r w:rsidR="00B46A98" w:rsidRPr="00EA4E25">
        <w:t xml:space="preserve">dmin Expenses column (L1) should be used to report the breakdown of expenses at class of business level. The total in column L1 SBF105 should reconcile to the </w:t>
      </w:r>
      <w:r w:rsidR="00141C0F" w:rsidRPr="00EA4E25">
        <w:t xml:space="preserve">line 11b </w:t>
      </w:r>
      <w:r w:rsidRPr="00EA4E25">
        <w:t>A</w:t>
      </w:r>
      <w:r w:rsidR="00141C0F" w:rsidRPr="00EA4E25">
        <w:t>dmin expenses in form SBF100.</w:t>
      </w:r>
      <w:r w:rsidR="008253F6" w:rsidRPr="00EA4E25">
        <w:t xml:space="preserve"> Reinsurance commission receivable under outwards reinsurance contracts which are calculated from this item should </w:t>
      </w:r>
      <w:r w:rsidR="008253F6" w:rsidRPr="00EA4E25">
        <w:rPr>
          <w:u w:val="single"/>
        </w:rPr>
        <w:t>not</w:t>
      </w:r>
      <w:r w:rsidR="008253F6" w:rsidRPr="00EA4E25">
        <w:t xml:space="preserve"> be deducted to show a net position; instead they should be reported separately in column Ia.</w:t>
      </w:r>
    </w:p>
    <w:p w:rsidR="00D95571" w:rsidRPr="00EA4E25" w:rsidRDefault="00230872" w:rsidP="006D3831">
      <w:pPr>
        <w:pStyle w:val="Heading3"/>
        <w:tabs>
          <w:tab w:val="clear" w:pos="851"/>
          <w:tab w:val="num" w:pos="1134"/>
        </w:tabs>
        <w:ind w:left="1134" w:hanging="1134"/>
      </w:pPr>
      <w:r w:rsidRPr="00EA4E25">
        <w:rPr>
          <w:rFonts w:cs="Arial"/>
          <w:lang w:eastAsia="en-GB"/>
        </w:rPr>
        <w:t xml:space="preserve">The amount in form </w:t>
      </w:r>
      <w:r w:rsidR="00BB1C21" w:rsidRPr="00EA4E25">
        <w:rPr>
          <w:rFonts w:cs="Arial"/>
          <w:lang w:eastAsia="en-GB"/>
        </w:rPr>
        <w:t>SBF</w:t>
      </w:r>
      <w:r w:rsidRPr="00EA4E25">
        <w:rPr>
          <w:rFonts w:cs="Arial"/>
          <w:lang w:eastAsia="en-GB"/>
        </w:rPr>
        <w:t>105 c</w:t>
      </w:r>
      <w:r w:rsidR="00F313AD" w:rsidRPr="00EA4E25">
        <w:rPr>
          <w:rFonts w:cs="Arial"/>
          <w:lang w:eastAsia="en-GB"/>
        </w:rPr>
        <w:t>olumn L</w:t>
      </w:r>
      <w:r w:rsidR="009A5B1D" w:rsidRPr="00EA4E25">
        <w:rPr>
          <w:rFonts w:cs="Arial"/>
          <w:lang w:eastAsia="en-GB"/>
        </w:rPr>
        <w:t xml:space="preserve"> Bonuses and Rebates Net of Reinsurance</w:t>
      </w:r>
      <w:r w:rsidR="00F313AD" w:rsidRPr="00EA4E25">
        <w:rPr>
          <w:rFonts w:cs="Arial"/>
          <w:lang w:eastAsia="en-GB"/>
        </w:rPr>
        <w:t xml:space="preserve"> </w:t>
      </w:r>
      <w:r w:rsidRPr="00EA4E25">
        <w:rPr>
          <w:rFonts w:cs="Arial"/>
          <w:lang w:eastAsia="en-GB"/>
        </w:rPr>
        <w:t xml:space="preserve">should match form </w:t>
      </w:r>
      <w:r w:rsidR="00BB1C21" w:rsidRPr="00EA4E25">
        <w:rPr>
          <w:rFonts w:cs="Arial"/>
          <w:lang w:eastAsia="en-GB"/>
        </w:rPr>
        <w:t>SBF</w:t>
      </w:r>
      <w:r w:rsidRPr="00EA4E25">
        <w:rPr>
          <w:rFonts w:cs="Arial"/>
          <w:lang w:eastAsia="en-GB"/>
        </w:rPr>
        <w:t>100 row 13</w:t>
      </w:r>
      <w:r w:rsidR="009A5B1D" w:rsidRPr="00EA4E25">
        <w:rPr>
          <w:rFonts w:cs="Arial"/>
          <w:lang w:eastAsia="en-GB"/>
        </w:rPr>
        <w:t xml:space="preserve"> Bonuses and Rebates Net of Reinsurance</w:t>
      </w:r>
      <w:r w:rsidRPr="00EA4E25">
        <w:rPr>
          <w:rFonts w:cs="Arial"/>
          <w:lang w:eastAsia="en-GB"/>
        </w:rPr>
        <w:t xml:space="preserve">. </w:t>
      </w:r>
      <w:r w:rsidR="00413569" w:rsidRPr="00EA4E25">
        <w:rPr>
          <w:rFonts w:cs="Arial"/>
          <w:color w:val="auto"/>
          <w:lang w:eastAsia="en-GB"/>
        </w:rPr>
        <w:t xml:space="preserve">See </w:t>
      </w:r>
      <w:r w:rsidR="008A7787" w:rsidRPr="00EA4E25">
        <w:rPr>
          <w:rFonts w:cs="Arial"/>
          <w:color w:val="auto"/>
          <w:lang w:eastAsia="en-GB"/>
        </w:rPr>
        <w:t>7.2.12</w:t>
      </w:r>
      <w:r w:rsidR="004D2A47" w:rsidRPr="00EA4E25">
        <w:rPr>
          <w:rFonts w:cs="Arial"/>
          <w:color w:val="auto"/>
          <w:lang w:eastAsia="en-GB"/>
        </w:rPr>
        <w:t xml:space="preserve"> </w:t>
      </w:r>
      <w:r w:rsidRPr="00EA4E25">
        <w:rPr>
          <w:rFonts w:cs="Arial"/>
          <w:color w:val="auto"/>
          <w:lang w:eastAsia="en-GB"/>
        </w:rPr>
        <w:t xml:space="preserve">for </w:t>
      </w:r>
      <w:r w:rsidRPr="00EA4E25">
        <w:rPr>
          <w:rFonts w:cs="Arial"/>
          <w:lang w:eastAsia="en-GB"/>
        </w:rPr>
        <w:t xml:space="preserve">further information </w:t>
      </w:r>
      <w:r w:rsidR="004D2A47" w:rsidRPr="00EA4E25">
        <w:rPr>
          <w:rFonts w:cs="Arial"/>
          <w:lang w:eastAsia="en-GB"/>
        </w:rPr>
        <w:t>concerning bonuses and rebates.</w:t>
      </w:r>
      <w:r w:rsidR="00DC58EC" w:rsidRPr="00EA4E25">
        <w:rPr>
          <w:rFonts w:cs="Arial"/>
          <w:lang w:eastAsia="en-GB"/>
        </w:rPr>
        <w:t xml:space="preserve">  </w:t>
      </w:r>
    </w:p>
    <w:p w:rsidR="009A5B1D" w:rsidRPr="00EA4E25" w:rsidRDefault="00F313AD" w:rsidP="00B30662">
      <w:pPr>
        <w:pStyle w:val="Heading3"/>
        <w:numPr>
          <w:ilvl w:val="0"/>
          <w:numId w:val="0"/>
        </w:numPr>
        <w:tabs>
          <w:tab w:val="clear" w:pos="851"/>
          <w:tab w:val="left" w:pos="1134"/>
        </w:tabs>
        <w:ind w:left="1134"/>
      </w:pPr>
      <w:r w:rsidRPr="00EA4E25">
        <w:rPr>
          <w:rFonts w:cs="Arial"/>
          <w:lang w:eastAsia="en-GB"/>
        </w:rPr>
        <w:t>(Form 105 column L = Form 100</w:t>
      </w:r>
      <w:r w:rsidR="009A5B1D" w:rsidRPr="00EA4E25">
        <w:rPr>
          <w:rFonts w:cs="Arial"/>
          <w:lang w:eastAsia="en-GB"/>
        </w:rPr>
        <w:t>, column C, row 13)</w:t>
      </w:r>
    </w:p>
    <w:p w:rsidR="00404972" w:rsidRPr="00EA4E25" w:rsidRDefault="00CC42C9" w:rsidP="006D3831">
      <w:pPr>
        <w:pStyle w:val="Heading3"/>
        <w:tabs>
          <w:tab w:val="clear" w:pos="851"/>
          <w:tab w:val="num" w:pos="1134"/>
        </w:tabs>
        <w:ind w:left="1134" w:hanging="1134"/>
      </w:pPr>
      <w:r w:rsidRPr="00EA4E25">
        <w:t xml:space="preserve">Each entry </w:t>
      </w:r>
      <w:r w:rsidR="00404972" w:rsidRPr="00EA4E25">
        <w:t>under ultimate claims settled (M and N) m</w:t>
      </w:r>
      <w:r w:rsidRPr="00EA4E25">
        <w:t>ust be a best estimate of anticipated ultimate claims on both gross and net bases.</w:t>
      </w:r>
      <w:r w:rsidR="006768E7" w:rsidRPr="00EA4E25">
        <w:t xml:space="preserve"> Allocated claim</w:t>
      </w:r>
      <w:r w:rsidR="00031F41" w:rsidRPr="00EA4E25">
        <w:t>s</w:t>
      </w:r>
      <w:r w:rsidR="006768E7" w:rsidRPr="00EA4E25">
        <w:t xml:space="preserve"> handling expenses should be included, but not ULAE.</w:t>
      </w:r>
      <w:r w:rsidR="000802AE" w:rsidRPr="00EA4E25">
        <w:t xml:space="preserve"> </w:t>
      </w:r>
    </w:p>
    <w:p w:rsidR="00DC58EC" w:rsidRPr="00111F9B" w:rsidRDefault="00DC58EC" w:rsidP="006D3831">
      <w:pPr>
        <w:pStyle w:val="Heading3"/>
        <w:tabs>
          <w:tab w:val="clear" w:pos="851"/>
          <w:tab w:val="num" w:pos="1134"/>
        </w:tabs>
        <w:ind w:left="1134" w:hanging="1134"/>
      </w:pPr>
      <w:r w:rsidRPr="00EA4E25">
        <w:t xml:space="preserve">The formula for gross ULR (column O) uses the net figure for bonuses and rebates because it is an item in the ABI SORP technical account.  If present, it is used to adjust the gross premiums written figure. </w:t>
      </w:r>
      <w:r w:rsidR="0041624F" w:rsidRPr="00EA4E25">
        <w:t>Where appropriate t</w:t>
      </w:r>
      <w:r w:rsidRPr="00EA4E25">
        <w:t xml:space="preserve">he corresponding </w:t>
      </w:r>
      <w:r w:rsidR="00D70394" w:rsidRPr="00EA4E25">
        <w:t xml:space="preserve">Bonuses and Rebates Gross of Reinsurance </w:t>
      </w:r>
      <w:r w:rsidRPr="00EA4E25">
        <w:t>and</w:t>
      </w:r>
      <w:r w:rsidR="00D70394" w:rsidRPr="00EA4E25">
        <w:t xml:space="preserve"> Bonuses and Rebates Reinsurers Share</w:t>
      </w:r>
      <w:r w:rsidRPr="00EA4E25">
        <w:t xml:space="preserve"> entries (columns J and K) </w:t>
      </w:r>
      <w:r w:rsidR="0041624F" w:rsidRPr="00EA4E25">
        <w:t>should be completed</w:t>
      </w:r>
      <w:r w:rsidRPr="00EA4E25">
        <w:t xml:space="preserve"> in order to provide meaningful adjustments for </w:t>
      </w:r>
      <w:r w:rsidR="00B96092" w:rsidRPr="00111F9B">
        <w:t>stamp</w:t>
      </w:r>
      <w:r w:rsidRPr="00111F9B">
        <w:t xml:space="preserve"> premiums.  H</w:t>
      </w:r>
      <w:r w:rsidR="009C4806" w:rsidRPr="00111F9B">
        <w:t xml:space="preserve">owever, </w:t>
      </w:r>
      <w:r w:rsidRPr="00111F9B">
        <w:t xml:space="preserve">in practice all of these items </w:t>
      </w:r>
      <w:r w:rsidR="0041624F" w:rsidRPr="00111F9B">
        <w:t xml:space="preserve">are expected </w:t>
      </w:r>
      <w:r w:rsidRPr="00111F9B">
        <w:t>to be zero.</w:t>
      </w:r>
    </w:p>
    <w:p w:rsidR="00560415" w:rsidRPr="00111F9B" w:rsidRDefault="00560415" w:rsidP="006D3831">
      <w:pPr>
        <w:pStyle w:val="Heading3"/>
        <w:tabs>
          <w:tab w:val="clear" w:pos="851"/>
          <w:tab w:val="num" w:pos="1134"/>
        </w:tabs>
        <w:ind w:left="1134" w:hanging="1134"/>
        <w:rPr>
          <w:color w:val="auto"/>
        </w:rPr>
      </w:pPr>
      <w:r w:rsidRPr="00111F9B">
        <w:t xml:space="preserve">If you plan to write </w:t>
      </w:r>
      <w:r w:rsidR="00EC6A41" w:rsidRPr="00111F9B">
        <w:t>Offshore</w:t>
      </w:r>
      <w:r w:rsidRPr="00111F9B">
        <w:t xml:space="preserve"> </w:t>
      </w:r>
      <w:r w:rsidR="00EC6A41" w:rsidRPr="00111F9B">
        <w:t>Energy</w:t>
      </w:r>
      <w:r w:rsidRPr="00111F9B">
        <w:t xml:space="preserve"> business please ensure that you </w:t>
      </w:r>
      <w:r w:rsidR="00775D76" w:rsidRPr="00111F9B">
        <w:t>report using the</w:t>
      </w:r>
      <w:r w:rsidR="0000637A" w:rsidRPr="00111F9B">
        <w:t xml:space="preserve"> t</w:t>
      </w:r>
      <w:r w:rsidR="0000637A" w:rsidRPr="00111F9B">
        <w:rPr>
          <w:color w:val="auto"/>
        </w:rPr>
        <w:t xml:space="preserve">wo standard </w:t>
      </w:r>
      <w:r w:rsidR="00B96092" w:rsidRPr="00111F9B">
        <w:rPr>
          <w:color w:val="auto"/>
        </w:rPr>
        <w:t>classes of business</w:t>
      </w:r>
      <w:r w:rsidR="0000637A" w:rsidRPr="00111F9B">
        <w:rPr>
          <w:color w:val="auto"/>
        </w:rPr>
        <w:t xml:space="preserve"> codes that have been introduced to identify </w:t>
      </w:r>
      <w:r w:rsidR="00EC6A41" w:rsidRPr="00111F9B">
        <w:rPr>
          <w:color w:val="auto"/>
        </w:rPr>
        <w:t>Offshore</w:t>
      </w:r>
      <w:r w:rsidR="0000637A" w:rsidRPr="00111F9B">
        <w:rPr>
          <w:color w:val="auto"/>
        </w:rPr>
        <w:t xml:space="preserve"> </w:t>
      </w:r>
      <w:r w:rsidR="00EC6A41" w:rsidRPr="00111F9B">
        <w:rPr>
          <w:color w:val="auto"/>
        </w:rPr>
        <w:t>Energy</w:t>
      </w:r>
      <w:r w:rsidR="0000637A" w:rsidRPr="00111F9B">
        <w:rPr>
          <w:color w:val="auto"/>
        </w:rPr>
        <w:t xml:space="preserve"> business, </w:t>
      </w:r>
      <w:r w:rsidR="0000637A" w:rsidRPr="00111F9B">
        <w:t xml:space="preserve">OEGW and </w:t>
      </w:r>
      <w:r w:rsidR="0000637A" w:rsidRPr="00111F9B">
        <w:rPr>
          <w:color w:val="auto"/>
        </w:rPr>
        <w:t>OEXGW</w:t>
      </w:r>
      <w:r w:rsidR="00230872" w:rsidRPr="00111F9B">
        <w:rPr>
          <w:color w:val="auto"/>
        </w:rPr>
        <w:t xml:space="preserve"> (</w:t>
      </w:r>
      <w:r w:rsidR="00413569" w:rsidRPr="00111F9B">
        <w:rPr>
          <w:color w:val="auto"/>
        </w:rPr>
        <w:t xml:space="preserve">see </w:t>
      </w:r>
      <w:r w:rsidR="00230872" w:rsidRPr="00111F9B">
        <w:rPr>
          <w:color w:val="auto"/>
        </w:rPr>
        <w:t xml:space="preserve">section </w:t>
      </w:r>
      <w:r w:rsidR="00230872" w:rsidRPr="00111F9B">
        <w:t>6.2.8)</w:t>
      </w:r>
      <w:r w:rsidR="00A04C25" w:rsidRPr="00111F9B">
        <w:t>.</w:t>
      </w:r>
    </w:p>
    <w:p w:rsidR="00E42E5A" w:rsidRPr="00111F9B" w:rsidRDefault="00E42E5A" w:rsidP="00A96666">
      <w:pPr>
        <w:pStyle w:val="Heading1"/>
        <w:numPr>
          <w:ilvl w:val="0"/>
          <w:numId w:val="0"/>
        </w:numPr>
        <w:tabs>
          <w:tab w:val="left" w:pos="1134"/>
        </w:tabs>
        <w:spacing w:after="0"/>
        <w:ind w:left="1134"/>
      </w:pPr>
    </w:p>
    <w:p w:rsidR="003778E6" w:rsidRPr="00111F9B" w:rsidRDefault="003778E6" w:rsidP="003778E6">
      <w:pPr>
        <w:pStyle w:val="Heading1"/>
        <w:tabs>
          <w:tab w:val="clear" w:pos="783"/>
          <w:tab w:val="left" w:pos="1134"/>
        </w:tabs>
        <w:spacing w:after="0"/>
        <w:ind w:left="1134" w:hanging="1134"/>
      </w:pPr>
      <w:bookmarkStart w:id="91" w:name="_Toc452126170"/>
      <w:r w:rsidRPr="00111F9B">
        <w:t>SBF116 PREMIUM INCOME DEVELOPMENT</w:t>
      </w:r>
      <w:bookmarkEnd w:id="91"/>
      <w:r w:rsidRPr="00111F9B">
        <w:t xml:space="preserve"> </w:t>
      </w:r>
    </w:p>
    <w:p w:rsidR="00231F65" w:rsidRPr="00111F9B" w:rsidRDefault="00231F65" w:rsidP="00231F65"/>
    <w:p w:rsidR="00231F65" w:rsidRPr="00111F9B" w:rsidRDefault="00231F65" w:rsidP="00231F65"/>
    <w:p w:rsidR="00231F65" w:rsidRPr="00111F9B" w:rsidRDefault="005F6C97" w:rsidP="00231F65">
      <w:pPr>
        <w:pStyle w:val="Heading2"/>
        <w:tabs>
          <w:tab w:val="num" w:pos="1134"/>
        </w:tabs>
        <w:ind w:left="0" w:firstLine="0"/>
      </w:pPr>
      <w:r w:rsidRPr="00111F9B">
        <w:t xml:space="preserve">     </w:t>
      </w:r>
      <w:r w:rsidR="00231F65" w:rsidRPr="00111F9B">
        <w:t xml:space="preserve"> </w:t>
      </w:r>
      <w:r w:rsidR="00061345" w:rsidRPr="00111F9B">
        <w:tab/>
      </w:r>
      <w:r w:rsidR="00231F65" w:rsidRPr="00111F9B">
        <w:rPr>
          <w:sz w:val="24"/>
          <w:szCs w:val="24"/>
        </w:rPr>
        <w:t>Summary</w:t>
      </w:r>
    </w:p>
    <w:p w:rsidR="003778E6" w:rsidRPr="00111F9B" w:rsidRDefault="003778E6" w:rsidP="006D3831">
      <w:pPr>
        <w:pStyle w:val="Heading3"/>
        <w:tabs>
          <w:tab w:val="clear" w:pos="851"/>
          <w:tab w:val="num" w:pos="1134"/>
          <w:tab w:val="left" w:pos="1170"/>
        </w:tabs>
        <w:ind w:left="1134" w:hanging="1134"/>
      </w:pPr>
      <w:r w:rsidRPr="00111F9B">
        <w:t xml:space="preserve">The aim of this form is to show how income develops throughout the year and it will be used to monitor your plan against data reported in </w:t>
      </w:r>
      <w:r w:rsidR="003021E6" w:rsidRPr="00111F9B">
        <w:t>PMDR</w:t>
      </w:r>
      <w:r w:rsidRPr="00111F9B">
        <w:t xml:space="preserve">. </w:t>
      </w:r>
    </w:p>
    <w:p w:rsidR="00231F65" w:rsidRPr="00111F9B" w:rsidRDefault="00231F65" w:rsidP="00231F65">
      <w:pPr>
        <w:pStyle w:val="Heading2"/>
        <w:tabs>
          <w:tab w:val="num" w:pos="1134"/>
        </w:tabs>
        <w:ind w:left="0" w:firstLine="0"/>
      </w:pPr>
      <w:r w:rsidRPr="00111F9B">
        <w:t xml:space="preserve">       </w:t>
      </w:r>
      <w:r w:rsidR="00061345" w:rsidRPr="00111F9B">
        <w:tab/>
      </w:r>
      <w:r w:rsidRPr="00111F9B">
        <w:rPr>
          <w:sz w:val="24"/>
          <w:szCs w:val="24"/>
        </w:rPr>
        <w:t>Key Points</w:t>
      </w:r>
    </w:p>
    <w:p w:rsidR="003778E6" w:rsidRPr="00EA4E25" w:rsidRDefault="003778E6" w:rsidP="006D3831">
      <w:pPr>
        <w:pStyle w:val="Heading3"/>
        <w:tabs>
          <w:tab w:val="clear" w:pos="851"/>
          <w:tab w:val="num" w:pos="1134"/>
        </w:tabs>
        <w:ind w:left="1134" w:hanging="1134"/>
      </w:pPr>
      <w:r w:rsidRPr="00EA4E25">
        <w:t>This form should be reported on a pure year of account basis</w:t>
      </w:r>
      <w:r w:rsidR="003B6E5D" w:rsidRPr="00EA4E25">
        <w:t xml:space="preserve"> to </w:t>
      </w:r>
      <w:r w:rsidR="009B7C79" w:rsidRPr="00EA4E25">
        <w:t>u</w:t>
      </w:r>
      <w:r w:rsidR="003B6E5D" w:rsidRPr="00EA4E25">
        <w:t>ltimate</w:t>
      </w:r>
      <w:r w:rsidRPr="00EA4E25">
        <w:t>.</w:t>
      </w:r>
    </w:p>
    <w:p w:rsidR="003778E6" w:rsidRPr="00EA4E25" w:rsidRDefault="003778E6" w:rsidP="006D3831">
      <w:pPr>
        <w:pStyle w:val="Heading3"/>
        <w:tabs>
          <w:tab w:val="clear" w:pos="851"/>
          <w:tab w:val="num" w:pos="1134"/>
        </w:tabs>
        <w:ind w:left="1134" w:hanging="1134"/>
      </w:pPr>
      <w:r w:rsidRPr="00EA4E25">
        <w:t>All entries in this section must be in CNV.</w:t>
      </w:r>
    </w:p>
    <w:p w:rsidR="003778E6" w:rsidRPr="00111F9B" w:rsidRDefault="003778E6" w:rsidP="006D3831">
      <w:pPr>
        <w:pStyle w:val="Heading3"/>
        <w:tabs>
          <w:tab w:val="clear" w:pos="851"/>
          <w:tab w:val="num" w:pos="1134"/>
          <w:tab w:val="left" w:pos="1170"/>
        </w:tabs>
        <w:ind w:left="1134" w:hanging="1134"/>
      </w:pPr>
      <w:r w:rsidRPr="00EA4E25">
        <w:t xml:space="preserve">The form should continue to be based on gross written premium. The incremental premium incepting in each quarter should be recorded so that the total sums to the </w:t>
      </w:r>
      <w:r w:rsidRPr="00111F9B">
        <w:t>ultimate written premium for the year.</w:t>
      </w:r>
    </w:p>
    <w:p w:rsidR="00911DE6" w:rsidRPr="00111F9B" w:rsidRDefault="003778E6" w:rsidP="006D3831">
      <w:pPr>
        <w:pStyle w:val="Heading3"/>
        <w:tabs>
          <w:tab w:val="clear" w:pos="851"/>
          <w:tab w:val="left" w:pos="1134"/>
          <w:tab w:val="left" w:pos="1170"/>
        </w:tabs>
        <w:ind w:left="1134" w:hanging="1134"/>
      </w:pPr>
      <w:r w:rsidRPr="00111F9B">
        <w:t>Total gross written premium at class of business level should be the same as the gross written premium reported in form SBF105.</w:t>
      </w:r>
    </w:p>
    <w:p w:rsidR="007D0F24" w:rsidRPr="00EA4E25" w:rsidRDefault="003778E6" w:rsidP="006D3831">
      <w:pPr>
        <w:pStyle w:val="Heading3"/>
        <w:tabs>
          <w:tab w:val="clear" w:pos="851"/>
          <w:tab w:val="num" w:pos="1134"/>
          <w:tab w:val="left" w:pos="1170"/>
        </w:tabs>
        <w:ind w:left="1134" w:hanging="1134"/>
      </w:pPr>
      <w:r w:rsidRPr="00111F9B">
        <w:rPr>
          <w:lang w:eastAsia="en-GB"/>
        </w:rPr>
        <w:t xml:space="preserve">This form should be completed on the same basis as the premium is captured on the </w:t>
      </w:r>
      <w:r w:rsidR="003021E6" w:rsidRPr="00111F9B">
        <w:rPr>
          <w:lang w:eastAsia="en-GB"/>
        </w:rPr>
        <w:t>PMDR</w:t>
      </w:r>
      <w:r w:rsidRPr="00111F9B">
        <w:rPr>
          <w:lang w:eastAsia="en-GB"/>
        </w:rPr>
        <w:t>. Premium should be recorded per quarter based on the inception date. Binder business should be reported based on the inception date of the binder with a premium number that includes all future declarations attaching to that binder (i.e. including the inception date accounting premium). As the binder declarations received after the end of the year of account are reported in the quarter where</w:t>
      </w:r>
      <w:r w:rsidRPr="00EA4E25">
        <w:rPr>
          <w:lang w:eastAsia="en-GB"/>
        </w:rPr>
        <w:t xml:space="preserve"> the binder commences, all of the premium should be accounted for during the four quarters.</w:t>
      </w:r>
    </w:p>
    <w:p w:rsidR="00231F65" w:rsidRPr="00EA4E25" w:rsidRDefault="00231F65" w:rsidP="00231F65">
      <w:pPr>
        <w:pStyle w:val="Heading2"/>
        <w:numPr>
          <w:ilvl w:val="0"/>
          <w:numId w:val="0"/>
        </w:numPr>
        <w:ind w:left="360" w:hanging="360"/>
      </w:pPr>
    </w:p>
    <w:p w:rsidR="003778E6" w:rsidRPr="00111F9B" w:rsidRDefault="003778E6" w:rsidP="003778E6">
      <w:pPr>
        <w:pStyle w:val="Heading1"/>
        <w:tabs>
          <w:tab w:val="clear" w:pos="783"/>
          <w:tab w:val="left" w:pos="1134"/>
        </w:tabs>
        <w:spacing w:after="0"/>
        <w:ind w:left="1134" w:hanging="1134"/>
      </w:pPr>
      <w:bookmarkStart w:id="92" w:name="_Toc452126171"/>
      <w:r w:rsidRPr="00111F9B">
        <w:t>SBF117 LOSS RATIO COMPOSITION</w:t>
      </w:r>
      <w:bookmarkEnd w:id="92"/>
    </w:p>
    <w:p w:rsidR="00911DE6" w:rsidRPr="00111F9B" w:rsidRDefault="00911DE6" w:rsidP="00911DE6"/>
    <w:p w:rsidR="00231F65" w:rsidRPr="00111F9B" w:rsidRDefault="00231F65" w:rsidP="00911DE6"/>
    <w:p w:rsidR="003778E6" w:rsidRPr="00111F9B" w:rsidRDefault="008A4812" w:rsidP="005F6C97">
      <w:pPr>
        <w:pStyle w:val="Heading2"/>
        <w:tabs>
          <w:tab w:val="left" w:pos="851"/>
        </w:tabs>
        <w:rPr>
          <w:sz w:val="24"/>
          <w:szCs w:val="24"/>
        </w:rPr>
      </w:pPr>
      <w:r w:rsidRPr="00111F9B">
        <w:rPr>
          <w:sz w:val="24"/>
          <w:szCs w:val="24"/>
        </w:rPr>
        <w:t xml:space="preserve">    S</w:t>
      </w:r>
      <w:r w:rsidR="003778E6" w:rsidRPr="00111F9B">
        <w:rPr>
          <w:sz w:val="24"/>
          <w:szCs w:val="24"/>
        </w:rPr>
        <w:t>ummary</w:t>
      </w:r>
    </w:p>
    <w:p w:rsidR="003778E6" w:rsidRPr="00111F9B" w:rsidRDefault="003778E6" w:rsidP="003778E6">
      <w:pPr>
        <w:pStyle w:val="Heading3"/>
        <w:numPr>
          <w:ilvl w:val="0"/>
          <w:numId w:val="0"/>
        </w:numPr>
        <w:tabs>
          <w:tab w:val="clear" w:pos="851"/>
          <w:tab w:val="left" w:pos="1134"/>
        </w:tabs>
        <w:ind w:left="1146"/>
        <w:rPr>
          <w:color w:val="auto"/>
        </w:rPr>
      </w:pPr>
      <w:r w:rsidRPr="00EA4E25">
        <w:t xml:space="preserve">The purpose of this form is to collect the breakdown of the Gross Loss Ratio components </w:t>
      </w:r>
      <w:r w:rsidRPr="00111F9B">
        <w:t>(attritional, large and Cat loss ratio) for the prospective year only</w:t>
      </w:r>
      <w:r w:rsidR="001F61DD" w:rsidRPr="00111F9B">
        <w:rPr>
          <w:color w:val="auto"/>
        </w:rPr>
        <w:t xml:space="preserve"> for </w:t>
      </w:r>
      <w:r w:rsidR="001F61DD" w:rsidRPr="00111F9B">
        <w:rPr>
          <w:color w:val="auto"/>
          <w:u w:val="single"/>
        </w:rPr>
        <w:t>each class of business</w:t>
      </w:r>
      <w:r w:rsidR="001F61DD" w:rsidRPr="00111F9B">
        <w:rPr>
          <w:color w:val="auto"/>
        </w:rPr>
        <w:t xml:space="preserve"> and </w:t>
      </w:r>
      <w:r w:rsidR="001F61DD" w:rsidRPr="00111F9B">
        <w:rPr>
          <w:color w:val="auto"/>
          <w:u w:val="single"/>
        </w:rPr>
        <w:t xml:space="preserve">at </w:t>
      </w:r>
      <w:r w:rsidR="00FD61A4">
        <w:rPr>
          <w:color w:val="auto"/>
          <w:u w:val="single"/>
        </w:rPr>
        <w:t xml:space="preserve">a </w:t>
      </w:r>
      <w:r w:rsidR="001F61DD" w:rsidRPr="00111F9B">
        <w:rPr>
          <w:color w:val="auto"/>
          <w:u w:val="single"/>
        </w:rPr>
        <w:t>whole account level</w:t>
      </w:r>
      <w:r w:rsidRPr="00111F9B">
        <w:t xml:space="preserve">. The form also collects the 1:200 gross and net Loss ratio for the prospective year of account </w:t>
      </w:r>
      <w:r w:rsidRPr="00111F9B">
        <w:rPr>
          <w:color w:val="auto"/>
          <w:u w:val="single"/>
        </w:rPr>
        <w:t xml:space="preserve">at </w:t>
      </w:r>
      <w:r w:rsidR="00FD61A4">
        <w:rPr>
          <w:color w:val="auto"/>
          <w:u w:val="single"/>
        </w:rPr>
        <w:t xml:space="preserve">a </w:t>
      </w:r>
      <w:r w:rsidRPr="00111F9B">
        <w:rPr>
          <w:color w:val="auto"/>
          <w:u w:val="single"/>
        </w:rPr>
        <w:t>whole account level</w:t>
      </w:r>
      <w:r w:rsidR="00FD61A4">
        <w:rPr>
          <w:color w:val="auto"/>
          <w:u w:val="single"/>
        </w:rPr>
        <w:t xml:space="preserve"> only</w:t>
      </w:r>
      <w:r w:rsidRPr="00111F9B">
        <w:rPr>
          <w:color w:val="auto"/>
        </w:rPr>
        <w:t xml:space="preserve">. </w:t>
      </w:r>
    </w:p>
    <w:p w:rsidR="003778E6" w:rsidRPr="00111F9B" w:rsidRDefault="005F6C97" w:rsidP="005F6C97">
      <w:pPr>
        <w:pStyle w:val="Heading2"/>
        <w:rPr>
          <w:sz w:val="24"/>
        </w:rPr>
      </w:pPr>
      <w:r w:rsidRPr="00111F9B">
        <w:rPr>
          <w:sz w:val="24"/>
        </w:rPr>
        <w:t xml:space="preserve"> </w:t>
      </w:r>
      <w:r w:rsidR="008A4812" w:rsidRPr="00111F9B">
        <w:rPr>
          <w:sz w:val="24"/>
        </w:rPr>
        <w:t xml:space="preserve">    </w:t>
      </w:r>
      <w:r w:rsidRPr="00111F9B">
        <w:rPr>
          <w:sz w:val="24"/>
        </w:rPr>
        <w:t xml:space="preserve"> </w:t>
      </w:r>
      <w:r w:rsidR="003778E6" w:rsidRPr="00111F9B">
        <w:rPr>
          <w:sz w:val="24"/>
        </w:rPr>
        <w:t>Key points</w:t>
      </w:r>
    </w:p>
    <w:p w:rsidR="003778E6" w:rsidRPr="00111F9B" w:rsidRDefault="003778E6" w:rsidP="00305D01">
      <w:pPr>
        <w:pStyle w:val="Heading3"/>
        <w:tabs>
          <w:tab w:val="clear" w:pos="851"/>
          <w:tab w:val="num" w:pos="1134"/>
        </w:tabs>
        <w:ind w:left="1134" w:hanging="1134"/>
      </w:pPr>
      <w:r w:rsidRPr="00111F9B">
        <w:t>This form does collect the prospective year only data.</w:t>
      </w:r>
    </w:p>
    <w:p w:rsidR="00911DE6" w:rsidRPr="00111F9B" w:rsidRDefault="00911DE6" w:rsidP="00911DE6">
      <w:pPr>
        <w:pStyle w:val="Heading3"/>
        <w:numPr>
          <w:ilvl w:val="0"/>
          <w:numId w:val="0"/>
        </w:numPr>
        <w:tabs>
          <w:tab w:val="clear" w:pos="851"/>
        </w:tabs>
        <w:ind w:left="1134"/>
      </w:pPr>
    </w:p>
    <w:p w:rsidR="003778E6" w:rsidRPr="00111F9B" w:rsidRDefault="003778E6" w:rsidP="003778E6">
      <w:pPr>
        <w:pStyle w:val="Heading1"/>
        <w:tabs>
          <w:tab w:val="clear" w:pos="783"/>
          <w:tab w:val="left" w:pos="1134"/>
        </w:tabs>
        <w:spacing w:after="0"/>
        <w:ind w:left="1134" w:hanging="1134"/>
      </w:pPr>
      <w:bookmarkStart w:id="93" w:name="_Toc452126172"/>
      <w:r w:rsidRPr="00111F9B">
        <w:t>SBF118 LOSS RATIO BRIDGING ANALYSIS</w:t>
      </w:r>
      <w:bookmarkEnd w:id="93"/>
    </w:p>
    <w:p w:rsidR="00911DE6" w:rsidRPr="00111F9B" w:rsidRDefault="00911DE6" w:rsidP="00911DE6"/>
    <w:p w:rsidR="003778E6" w:rsidRPr="00111F9B" w:rsidRDefault="003778E6" w:rsidP="003778E6"/>
    <w:p w:rsidR="003778E6" w:rsidRPr="00111F9B" w:rsidRDefault="003778E6" w:rsidP="00235165">
      <w:pPr>
        <w:pStyle w:val="Heading2"/>
        <w:tabs>
          <w:tab w:val="clear" w:pos="360"/>
        </w:tabs>
        <w:ind w:left="1134" w:hanging="1134"/>
        <w:rPr>
          <w:sz w:val="24"/>
          <w:szCs w:val="24"/>
        </w:rPr>
      </w:pPr>
      <w:r w:rsidRPr="00111F9B">
        <w:rPr>
          <w:sz w:val="24"/>
          <w:szCs w:val="24"/>
        </w:rPr>
        <w:t>Summary</w:t>
      </w:r>
    </w:p>
    <w:p w:rsidR="009F48C8" w:rsidRPr="00111F9B" w:rsidRDefault="009F48C8" w:rsidP="00305D01">
      <w:pPr>
        <w:pStyle w:val="Heading3"/>
        <w:numPr>
          <w:ilvl w:val="2"/>
          <w:numId w:val="16"/>
        </w:numPr>
        <w:tabs>
          <w:tab w:val="clear" w:pos="851"/>
          <w:tab w:val="num" w:pos="1134"/>
        </w:tabs>
        <w:ind w:left="1134" w:hanging="1134"/>
        <w:rPr>
          <w:color w:val="auto"/>
          <w:u w:val="single"/>
        </w:rPr>
      </w:pPr>
      <w:r w:rsidRPr="00111F9B">
        <w:t>The purpose of this form is to provide a loss ratio bridging analysis for each class of business based on the syndicate’s assumptions for prospective year, across the elements of pricing and claims inflation. The form also allows the managing agents to provide an explanation on negative variances (i.e.</w:t>
      </w:r>
      <w:r w:rsidR="00305529" w:rsidRPr="00111F9B">
        <w:t xml:space="preserve"> </w:t>
      </w:r>
      <w:r w:rsidRPr="00111F9B">
        <w:t>where the planned gross ultimate Loss ratio is not in line with the bridging analysis)</w:t>
      </w:r>
    </w:p>
    <w:p w:rsidR="00DD5746" w:rsidRPr="00EA4E25" w:rsidRDefault="00061345" w:rsidP="005F6C97">
      <w:pPr>
        <w:pStyle w:val="Heading2"/>
        <w:tabs>
          <w:tab w:val="left" w:pos="851"/>
          <w:tab w:val="num" w:pos="1134"/>
        </w:tabs>
        <w:rPr>
          <w:sz w:val="24"/>
          <w:szCs w:val="24"/>
        </w:rPr>
      </w:pPr>
      <w:r w:rsidRPr="00EA4E25">
        <w:rPr>
          <w:sz w:val="24"/>
          <w:szCs w:val="24"/>
        </w:rPr>
        <w:t xml:space="preserve">    </w:t>
      </w:r>
      <w:r w:rsidR="009F48C8" w:rsidRPr="00EA4E25">
        <w:rPr>
          <w:sz w:val="24"/>
          <w:szCs w:val="24"/>
        </w:rPr>
        <w:t>Key points</w:t>
      </w:r>
    </w:p>
    <w:p w:rsidR="00DD5746" w:rsidRPr="00EA4E25" w:rsidRDefault="009F48C8" w:rsidP="005771EA">
      <w:pPr>
        <w:pStyle w:val="Heading3"/>
        <w:numPr>
          <w:ilvl w:val="0"/>
          <w:numId w:val="0"/>
        </w:numPr>
        <w:tabs>
          <w:tab w:val="left" w:pos="720"/>
        </w:tabs>
        <w:ind w:left="1134"/>
      </w:pPr>
      <w:r w:rsidRPr="00EA4E25">
        <w:t xml:space="preserve">This form has been created to </w:t>
      </w:r>
      <w:r w:rsidR="00FA3A56" w:rsidRPr="00EA4E25">
        <w:t xml:space="preserve">ensure that </w:t>
      </w:r>
      <w:r w:rsidR="00205ED6" w:rsidRPr="00EA4E25">
        <w:t xml:space="preserve">adequate information is collected to understand the planned gross loss ratios, especially where material changes are proposed year on year. </w:t>
      </w:r>
    </w:p>
    <w:p w:rsidR="0040368C" w:rsidRPr="00EA4E25" w:rsidRDefault="00205ED6" w:rsidP="008741F4">
      <w:pPr>
        <w:pStyle w:val="Heading3"/>
        <w:numPr>
          <w:ilvl w:val="0"/>
          <w:numId w:val="0"/>
        </w:numPr>
        <w:tabs>
          <w:tab w:val="clear" w:pos="851"/>
          <w:tab w:val="left" w:pos="567"/>
        </w:tabs>
        <w:ind w:left="1134"/>
      </w:pPr>
      <w:r w:rsidRPr="00EA4E25">
        <w:t>This section is pre-populated with classes of business as specified in the class of business descriptions section. The classes displayed will be those that have been selected irrespective of whether they are approved or only proposed.</w:t>
      </w:r>
    </w:p>
    <w:p w:rsidR="00205ED6" w:rsidRPr="00EA4E25" w:rsidRDefault="00205ED6" w:rsidP="008741F4">
      <w:pPr>
        <w:pStyle w:val="Heading3"/>
        <w:numPr>
          <w:ilvl w:val="0"/>
          <w:numId w:val="0"/>
        </w:numPr>
        <w:tabs>
          <w:tab w:val="clear" w:pos="851"/>
          <w:tab w:val="left" w:pos="567"/>
        </w:tabs>
        <w:ind w:left="1134"/>
        <w:rPr>
          <w:color w:val="auto"/>
        </w:rPr>
      </w:pPr>
      <w:r w:rsidRPr="00EA4E25">
        <w:t>C</w:t>
      </w:r>
      <w:r w:rsidR="009F48C8" w:rsidRPr="00EA4E25">
        <w:t xml:space="preserve">urrent year </w:t>
      </w:r>
      <w:r w:rsidRPr="00EA4E25">
        <w:t xml:space="preserve">gross ultimate loss ratio </w:t>
      </w:r>
      <w:r w:rsidR="009F48C8" w:rsidRPr="00EA4E25">
        <w:t xml:space="preserve">should be based on latest approved syndicate’s current business plan. </w:t>
      </w:r>
      <w:r w:rsidRPr="00EA4E25">
        <w:t>The information is not required for new classes</w:t>
      </w:r>
      <w:r w:rsidRPr="00235165">
        <w:rPr>
          <w:color w:val="auto"/>
        </w:rPr>
        <w:t xml:space="preserve"> in </w:t>
      </w:r>
      <w:r w:rsidR="002779CA" w:rsidRPr="00235165">
        <w:rPr>
          <w:color w:val="auto"/>
        </w:rPr>
        <w:t>20</w:t>
      </w:r>
      <w:r w:rsidR="00AB3B14" w:rsidRPr="00235165">
        <w:rPr>
          <w:color w:val="auto"/>
        </w:rPr>
        <w:t>20</w:t>
      </w:r>
      <w:r w:rsidRPr="00235165">
        <w:rPr>
          <w:color w:val="auto"/>
        </w:rPr>
        <w:t xml:space="preserve">. In </w:t>
      </w:r>
      <w:r w:rsidRPr="00EA4E25">
        <w:t>these instances, the columns should be left blank</w:t>
      </w:r>
      <w:r w:rsidRPr="00EA4E25" w:rsidDel="00205ED6">
        <w:t xml:space="preserve"> </w:t>
      </w:r>
    </w:p>
    <w:p w:rsidR="00205ED6" w:rsidRPr="00EA4E25" w:rsidRDefault="00205ED6" w:rsidP="009A3C84">
      <w:pPr>
        <w:pStyle w:val="Heading3"/>
        <w:numPr>
          <w:ilvl w:val="0"/>
          <w:numId w:val="19"/>
        </w:numPr>
        <w:tabs>
          <w:tab w:val="clear" w:pos="851"/>
        </w:tabs>
        <w:ind w:left="1418" w:hanging="284"/>
        <w:rPr>
          <w:color w:val="auto"/>
        </w:rPr>
      </w:pPr>
      <w:r w:rsidRPr="00EA4E25">
        <w:t>Gross risk adjusted rate change (RARC) assumptions are calculated from form SBF184</w:t>
      </w:r>
      <w:r w:rsidR="00AB3B14">
        <w:t>.</w:t>
      </w:r>
    </w:p>
    <w:p w:rsidR="00205ED6" w:rsidRPr="00111F9B" w:rsidRDefault="00205ED6" w:rsidP="009A3C84">
      <w:pPr>
        <w:pStyle w:val="Heading3"/>
        <w:numPr>
          <w:ilvl w:val="0"/>
          <w:numId w:val="19"/>
        </w:numPr>
        <w:tabs>
          <w:tab w:val="left" w:pos="720"/>
        </w:tabs>
        <w:ind w:left="1418" w:hanging="284"/>
      </w:pPr>
      <w:r w:rsidRPr="00EA4E25">
        <w:t>Claim inflation assumptions should be provided at class of bus</w:t>
      </w:r>
      <w:r w:rsidR="008741F4" w:rsidRPr="00EA4E25">
        <w:t xml:space="preserve">iness level in percentage (%). </w:t>
      </w:r>
      <w:r w:rsidRPr="00EA4E25">
        <w:t xml:space="preserve">The percentage shall explain the change in the expected ultimate claims cost for products sold next year compared to this year. For more details </w:t>
      </w:r>
      <w:r w:rsidR="00413569" w:rsidRPr="00EA4E25">
        <w:rPr>
          <w:color w:val="auto"/>
        </w:rPr>
        <w:t>see</w:t>
      </w:r>
      <w:r w:rsidRPr="00EA4E25">
        <w:rPr>
          <w:color w:val="auto"/>
        </w:rPr>
        <w:t xml:space="preserve"> </w:t>
      </w:r>
      <w:r w:rsidRPr="00111F9B">
        <w:t xml:space="preserve">the guidance document on </w:t>
      </w:r>
      <w:hyperlink r:id="rId24" w:history="1">
        <w:r w:rsidRPr="00111F9B">
          <w:rPr>
            <w:rStyle w:val="Hyperlink"/>
            <w:rFonts w:cs="Arial"/>
          </w:rPr>
          <w:t>www.lloyds.com/claimsinflation</w:t>
        </w:r>
      </w:hyperlink>
      <w:r w:rsidRPr="00111F9B">
        <w:rPr>
          <w:rFonts w:cs="Arial"/>
          <w:color w:val="1F497D"/>
        </w:rPr>
        <w:t>.</w:t>
      </w:r>
    </w:p>
    <w:p w:rsidR="003778E6" w:rsidRPr="00111F9B" w:rsidRDefault="00205ED6" w:rsidP="004D7F67">
      <w:pPr>
        <w:pStyle w:val="Heading3"/>
        <w:numPr>
          <w:ilvl w:val="0"/>
          <w:numId w:val="19"/>
        </w:numPr>
        <w:tabs>
          <w:tab w:val="clear" w:pos="851"/>
        </w:tabs>
        <w:ind w:left="1418" w:hanging="284"/>
        <w:rPr>
          <w:color w:val="auto"/>
        </w:rPr>
      </w:pPr>
      <w:r w:rsidRPr="00111F9B">
        <w:rPr>
          <w:color w:val="auto"/>
        </w:rPr>
        <w:t>Managing agents are expected to provide commentary for those classes where the planned GULR has not moved in line with the assumptions (i.e. negative variance in column F)</w:t>
      </w:r>
      <w:bookmarkStart w:id="94" w:name="_Toc95271068"/>
      <w:bookmarkStart w:id="95" w:name="_Toc264275403"/>
      <w:r w:rsidR="00AB3B14" w:rsidRPr="00111F9B">
        <w:rPr>
          <w:color w:val="auto"/>
        </w:rPr>
        <w:t>.</w:t>
      </w:r>
    </w:p>
    <w:p w:rsidR="004D7F67" w:rsidRPr="00111F9B" w:rsidRDefault="004D7F67" w:rsidP="004D7F67">
      <w:pPr>
        <w:pStyle w:val="Heading3"/>
        <w:numPr>
          <w:ilvl w:val="0"/>
          <w:numId w:val="0"/>
        </w:numPr>
        <w:tabs>
          <w:tab w:val="clear" w:pos="851"/>
        </w:tabs>
        <w:ind w:left="1418"/>
        <w:rPr>
          <w:color w:val="auto"/>
        </w:rPr>
      </w:pPr>
    </w:p>
    <w:p w:rsidR="00C80CEF" w:rsidRPr="00111F9B" w:rsidRDefault="00C80CEF" w:rsidP="00235165">
      <w:pPr>
        <w:rPr>
          <w:b/>
        </w:rPr>
      </w:pPr>
      <w:bookmarkStart w:id="96" w:name="_Toc95271069"/>
      <w:bookmarkStart w:id="97" w:name="_Toc264275404"/>
      <w:bookmarkStart w:id="98" w:name="_Toc89825896"/>
      <w:bookmarkStart w:id="99" w:name="_Toc89826855"/>
      <w:bookmarkEnd w:id="94"/>
      <w:bookmarkEnd w:id="95"/>
    </w:p>
    <w:p w:rsidR="00840F3E" w:rsidRPr="00111F9B" w:rsidRDefault="004A4F1C" w:rsidP="00F620CD">
      <w:pPr>
        <w:pStyle w:val="Heading1"/>
        <w:tabs>
          <w:tab w:val="clear" w:pos="783"/>
          <w:tab w:val="left" w:pos="1134"/>
        </w:tabs>
        <w:ind w:left="1134" w:hanging="1134"/>
      </w:pPr>
      <w:bookmarkStart w:id="100" w:name="_Toc452126175"/>
      <w:r w:rsidRPr="00111F9B">
        <w:t>SBF164 BUSINESS COMPOSITION BY TYPE OF PLACEMENT</w:t>
      </w:r>
      <w:bookmarkEnd w:id="100"/>
    </w:p>
    <w:p w:rsidR="00911DE6" w:rsidRPr="00111F9B" w:rsidRDefault="00911DE6" w:rsidP="00911DE6"/>
    <w:p w:rsidR="00840F3E" w:rsidRPr="00111F9B" w:rsidRDefault="00061345" w:rsidP="001177DC">
      <w:pPr>
        <w:pStyle w:val="Heading2"/>
        <w:tabs>
          <w:tab w:val="clear" w:pos="360"/>
          <w:tab w:val="num" w:pos="851"/>
          <w:tab w:val="num" w:pos="1134"/>
        </w:tabs>
        <w:rPr>
          <w:sz w:val="24"/>
          <w:szCs w:val="24"/>
        </w:rPr>
      </w:pPr>
      <w:r w:rsidRPr="00111F9B">
        <w:rPr>
          <w:sz w:val="24"/>
          <w:szCs w:val="24"/>
        </w:rPr>
        <w:t xml:space="preserve">   </w:t>
      </w:r>
      <w:r w:rsidR="004A4F1C" w:rsidRPr="00111F9B">
        <w:rPr>
          <w:sz w:val="24"/>
          <w:szCs w:val="24"/>
        </w:rPr>
        <w:t>Summary</w:t>
      </w:r>
    </w:p>
    <w:p w:rsidR="004A4F1C" w:rsidRPr="00111F9B" w:rsidRDefault="004A4F1C" w:rsidP="009A7979">
      <w:pPr>
        <w:pStyle w:val="Heading3"/>
        <w:tabs>
          <w:tab w:val="clear" w:pos="851"/>
          <w:tab w:val="num" w:pos="1134"/>
        </w:tabs>
        <w:ind w:left="1134" w:hanging="1134"/>
      </w:pPr>
      <w:r w:rsidRPr="00111F9B">
        <w:t xml:space="preserve">The aim of this form is to measure the extent of Delegated Authority and Open Market business. The form also collects the total of </w:t>
      </w:r>
      <w:r w:rsidR="00814F7F" w:rsidRPr="00111F9B">
        <w:t>r</w:t>
      </w:r>
      <w:r w:rsidRPr="00111F9B">
        <w:t xml:space="preserve">einsurance business within the Open </w:t>
      </w:r>
      <w:r w:rsidR="00226367" w:rsidRPr="00111F9B">
        <w:t>M</w:t>
      </w:r>
      <w:r w:rsidRPr="00111F9B">
        <w:t>arket (i.e. not written under a delegated authority).</w:t>
      </w:r>
    </w:p>
    <w:p w:rsidR="004A4F1C" w:rsidRPr="00EA4E25" w:rsidRDefault="00061345" w:rsidP="001177DC">
      <w:pPr>
        <w:pStyle w:val="Heading2"/>
        <w:tabs>
          <w:tab w:val="clear" w:pos="360"/>
          <w:tab w:val="num" w:pos="284"/>
          <w:tab w:val="num" w:pos="851"/>
        </w:tabs>
        <w:rPr>
          <w:sz w:val="24"/>
          <w:szCs w:val="24"/>
        </w:rPr>
      </w:pPr>
      <w:r w:rsidRPr="00EA4E25">
        <w:rPr>
          <w:sz w:val="24"/>
          <w:szCs w:val="24"/>
        </w:rPr>
        <w:t xml:space="preserve">    </w:t>
      </w:r>
      <w:r w:rsidR="004A4F1C" w:rsidRPr="00EA4E25">
        <w:rPr>
          <w:sz w:val="24"/>
          <w:szCs w:val="24"/>
        </w:rPr>
        <w:t>Key Points</w:t>
      </w:r>
    </w:p>
    <w:p w:rsidR="004A4F1C" w:rsidRPr="00EA4E25" w:rsidRDefault="004A4F1C" w:rsidP="009A7979">
      <w:pPr>
        <w:pStyle w:val="Heading3"/>
        <w:tabs>
          <w:tab w:val="clear" w:pos="851"/>
          <w:tab w:val="num" w:pos="1134"/>
        </w:tabs>
        <w:ind w:left="1134" w:hanging="1134"/>
      </w:pPr>
      <w:r w:rsidRPr="00EA4E25">
        <w:t>This form should be reported on a pure year of account at ultimate basis.</w:t>
      </w:r>
    </w:p>
    <w:p w:rsidR="004A4F1C" w:rsidRPr="00EA4E25" w:rsidRDefault="004A4F1C" w:rsidP="009A7979">
      <w:pPr>
        <w:pStyle w:val="Heading3"/>
        <w:tabs>
          <w:tab w:val="clear" w:pos="851"/>
          <w:tab w:val="num" w:pos="1134"/>
        </w:tabs>
        <w:ind w:left="1134" w:hanging="1134"/>
      </w:pPr>
      <w:r w:rsidRPr="00EA4E25">
        <w:t>All entries in this section are recorded in CNV.</w:t>
      </w:r>
    </w:p>
    <w:p w:rsidR="004A4F1C" w:rsidRPr="00EA4E25" w:rsidRDefault="004A4F1C" w:rsidP="00C13A4A">
      <w:pPr>
        <w:pStyle w:val="Heading3"/>
        <w:tabs>
          <w:tab w:val="clear" w:pos="851"/>
          <w:tab w:val="num" w:pos="1134"/>
        </w:tabs>
        <w:ind w:left="1134" w:hanging="1134"/>
      </w:pPr>
      <w:r w:rsidRPr="00EA4E25">
        <w:t xml:space="preserve">"Binding authorities delegated to Third Party Coverholders" refers to all binding authorities that are not with a service company. </w:t>
      </w:r>
    </w:p>
    <w:p w:rsidR="004A4F1C" w:rsidRPr="00EA4E25" w:rsidRDefault="004A4F1C" w:rsidP="00C13A4A">
      <w:pPr>
        <w:pStyle w:val="Heading3"/>
        <w:tabs>
          <w:tab w:val="clear" w:pos="851"/>
          <w:tab w:val="num" w:pos="1134"/>
        </w:tabs>
        <w:ind w:left="1134" w:hanging="1134"/>
      </w:pPr>
      <w:r w:rsidRPr="00EA4E25">
        <w:t xml:space="preserve">“Service Companies” refers to all binding authorities with a service company. A service company is a company within the same group as, or owned by, the Lloyd’s managing agent to whom the managing agent delegates authority to enter into contracts of insurance or to issue insurance documents as evidence of contracts of insurance. </w:t>
      </w:r>
    </w:p>
    <w:p w:rsidR="004A4F1C" w:rsidRPr="00EA4E25" w:rsidRDefault="004A4F1C" w:rsidP="00C13A4A">
      <w:pPr>
        <w:pStyle w:val="Heading3"/>
        <w:tabs>
          <w:tab w:val="clear" w:pos="851"/>
          <w:tab w:val="num" w:pos="1134"/>
        </w:tabs>
        <w:ind w:left="1134" w:hanging="1134"/>
      </w:pPr>
      <w:r w:rsidRPr="00EA4E25">
        <w:t xml:space="preserve">A “line slip” is an arrangement where authority is delegated to another managing agent, or to an authorised insurance company, for business introduced by a named Lloyd’s broker. A lineslip will usually apply to specific types of business. Once the authorised managing agent or insurance company has entered into a contract of insurance with the insured, the relevant Lloyd’s broker will issue evidence of the insurance (for example, a cover note supported by a full slip or slip policy). The lineslip may allow the authorised managing agent or insurance company to agree claims. </w:t>
      </w:r>
    </w:p>
    <w:p w:rsidR="004A4F1C" w:rsidRPr="00EA4E25" w:rsidRDefault="004A4F1C" w:rsidP="00C13A4A">
      <w:pPr>
        <w:pStyle w:val="Heading3"/>
        <w:tabs>
          <w:tab w:val="clear" w:pos="851"/>
          <w:tab w:val="num" w:pos="1134"/>
        </w:tabs>
        <w:ind w:left="1134" w:hanging="1134"/>
      </w:pPr>
      <w:r w:rsidRPr="00EA4E25">
        <w:t xml:space="preserve">Any reinsurance business written via service companies should be included in the total premium written via service companies and </w:t>
      </w:r>
      <w:r w:rsidR="0084799D" w:rsidRPr="00EA4E25">
        <w:t>must not</w:t>
      </w:r>
      <w:r w:rsidR="00234404" w:rsidRPr="00EA4E25">
        <w:t xml:space="preserve"> be</w:t>
      </w:r>
      <w:r w:rsidRPr="00EA4E25">
        <w:t xml:space="preserve"> reported in the “</w:t>
      </w:r>
      <w:r w:rsidR="0084799D" w:rsidRPr="00EA4E25">
        <w:t>a</w:t>
      </w:r>
      <w:r w:rsidR="00814F7F" w:rsidRPr="00EA4E25">
        <w:t>ll other r</w:t>
      </w:r>
      <w:r w:rsidRPr="00EA4E25">
        <w:t xml:space="preserve">einsurance business (not written under a delegated authority)” field. </w:t>
      </w:r>
    </w:p>
    <w:p w:rsidR="004A4F1C" w:rsidRPr="00EA4E25" w:rsidRDefault="004A4F1C" w:rsidP="00C13A4A">
      <w:pPr>
        <w:pStyle w:val="Heading3"/>
        <w:tabs>
          <w:tab w:val="clear" w:pos="851"/>
          <w:tab w:val="num" w:pos="1134"/>
        </w:tabs>
        <w:ind w:left="1134" w:hanging="1134"/>
      </w:pPr>
      <w:r w:rsidRPr="00EA4E25">
        <w:t>The “</w:t>
      </w:r>
      <w:r w:rsidR="0084799D" w:rsidRPr="00EA4E25">
        <w:t>all other r</w:t>
      </w:r>
      <w:r w:rsidRPr="00EA4E25">
        <w:t xml:space="preserve">einsurance business (not written under a delegated authority)” field should refer to the Open </w:t>
      </w:r>
      <w:r w:rsidR="00226367" w:rsidRPr="00EA4E25">
        <w:t>M</w:t>
      </w:r>
      <w:r w:rsidRPr="00EA4E25">
        <w:t>arket business only.</w:t>
      </w:r>
    </w:p>
    <w:p w:rsidR="004A4F1C" w:rsidRPr="00EA4E25" w:rsidRDefault="004A4F1C" w:rsidP="00C13A4A">
      <w:pPr>
        <w:pStyle w:val="Heading3"/>
        <w:tabs>
          <w:tab w:val="clear" w:pos="851"/>
          <w:tab w:val="num" w:pos="1134"/>
        </w:tabs>
        <w:ind w:left="1134" w:hanging="1134"/>
      </w:pPr>
      <w:r w:rsidRPr="00EA4E25">
        <w:t>Acquisition costs (Col B) should be stated before any apportionment of administrative expenses that would be made under UK GAAP.</w:t>
      </w:r>
    </w:p>
    <w:p w:rsidR="00C766E6" w:rsidRDefault="00C766E6">
      <w:pPr>
        <w:rPr>
          <w:color w:val="000000"/>
          <w:szCs w:val="22"/>
        </w:rPr>
      </w:pPr>
      <w:r>
        <w:br w:type="page"/>
      </w:r>
    </w:p>
    <w:p w:rsidR="00CC42C9" w:rsidRPr="00111F9B" w:rsidRDefault="00CC42C9" w:rsidP="00C87C61">
      <w:pPr>
        <w:pStyle w:val="Heading1"/>
        <w:tabs>
          <w:tab w:val="clear" w:pos="783"/>
          <w:tab w:val="num" w:pos="1134"/>
        </w:tabs>
        <w:ind w:left="1134" w:hanging="1134"/>
      </w:pPr>
      <w:bookmarkStart w:id="101" w:name="_Toc95271071"/>
      <w:bookmarkStart w:id="102" w:name="_Toc264275406"/>
      <w:bookmarkStart w:id="103" w:name="_Toc452126176"/>
      <w:bookmarkEnd w:id="96"/>
      <w:bookmarkEnd w:id="97"/>
      <w:bookmarkEnd w:id="98"/>
      <w:bookmarkEnd w:id="99"/>
      <w:r w:rsidRPr="00111F9B">
        <w:t>SB</w:t>
      </w:r>
      <w:r w:rsidR="001C4409" w:rsidRPr="00111F9B">
        <w:t>F</w:t>
      </w:r>
      <w:r w:rsidRPr="00111F9B">
        <w:t>167 PREMIUM INCOME SPLIT BY RISK CODE</w:t>
      </w:r>
      <w:bookmarkEnd w:id="101"/>
      <w:bookmarkEnd w:id="102"/>
      <w:bookmarkEnd w:id="103"/>
    </w:p>
    <w:p w:rsidR="00911DE6" w:rsidRPr="00111F9B" w:rsidRDefault="00911DE6" w:rsidP="00911DE6"/>
    <w:p w:rsidR="00CC42C9" w:rsidRPr="00111F9B" w:rsidRDefault="00061345" w:rsidP="001177DC">
      <w:pPr>
        <w:pStyle w:val="Heading2"/>
        <w:tabs>
          <w:tab w:val="num" w:pos="851"/>
        </w:tabs>
        <w:ind w:left="1134" w:hanging="1134"/>
        <w:rPr>
          <w:sz w:val="24"/>
          <w:szCs w:val="24"/>
        </w:rPr>
      </w:pPr>
      <w:bookmarkStart w:id="104" w:name="_Toc89825878"/>
      <w:bookmarkStart w:id="105" w:name="_Toc89826841"/>
      <w:r w:rsidRPr="00111F9B">
        <w:rPr>
          <w:sz w:val="24"/>
          <w:szCs w:val="24"/>
        </w:rPr>
        <w:t xml:space="preserve">    </w:t>
      </w:r>
      <w:r w:rsidR="00CC42C9" w:rsidRPr="00111F9B">
        <w:rPr>
          <w:sz w:val="24"/>
          <w:szCs w:val="24"/>
        </w:rPr>
        <w:t>Summary</w:t>
      </w:r>
      <w:bookmarkEnd w:id="104"/>
      <w:bookmarkEnd w:id="105"/>
    </w:p>
    <w:p w:rsidR="00CC42C9" w:rsidRPr="00111F9B" w:rsidRDefault="00CC42C9" w:rsidP="003A1F29">
      <w:pPr>
        <w:pStyle w:val="Heading3"/>
        <w:tabs>
          <w:tab w:val="clear" w:pos="851"/>
          <w:tab w:val="num" w:pos="1134"/>
        </w:tabs>
        <w:ind w:left="1134" w:hanging="1134"/>
      </w:pPr>
      <w:r w:rsidRPr="00111F9B">
        <w:t xml:space="preserve">This section has been generated based on the information provided in the Risk Code Mappings section and </w:t>
      </w:r>
      <w:r w:rsidR="008B2110" w:rsidRPr="00111F9B">
        <w:t>Underwriting Performance Forecast (SBF105)</w:t>
      </w:r>
      <w:r w:rsidRPr="00111F9B">
        <w:t xml:space="preserve"> section.  </w:t>
      </w:r>
    </w:p>
    <w:p w:rsidR="00CC42C9" w:rsidRPr="00111F9B" w:rsidRDefault="00B4045C" w:rsidP="003A1F29">
      <w:pPr>
        <w:pStyle w:val="Heading3"/>
        <w:tabs>
          <w:tab w:val="clear" w:pos="851"/>
          <w:tab w:val="num" w:pos="1134"/>
        </w:tabs>
        <w:ind w:left="1134" w:hanging="1134"/>
      </w:pPr>
      <w:r w:rsidRPr="00111F9B">
        <w:t xml:space="preserve">Please note the same risk code currency mapping will be used for both the </w:t>
      </w:r>
      <w:r w:rsidR="00B96092" w:rsidRPr="00111F9B">
        <w:t>stamp</w:t>
      </w:r>
      <w:r w:rsidRPr="00111F9B">
        <w:t xml:space="preserve"> gross premiums written and </w:t>
      </w:r>
      <w:r w:rsidR="00B96092" w:rsidRPr="00111F9B">
        <w:t>stamp</w:t>
      </w:r>
      <w:r w:rsidRPr="00111F9B">
        <w:t xml:space="preserve"> net premiums written. </w:t>
      </w:r>
    </w:p>
    <w:p w:rsidR="00CC42C9" w:rsidRPr="00111F9B" w:rsidRDefault="00061345" w:rsidP="001177DC">
      <w:pPr>
        <w:pStyle w:val="Heading2"/>
        <w:tabs>
          <w:tab w:val="num" w:pos="851"/>
        </w:tabs>
        <w:ind w:left="1134" w:hanging="1134"/>
        <w:rPr>
          <w:sz w:val="24"/>
          <w:szCs w:val="24"/>
        </w:rPr>
      </w:pPr>
      <w:bookmarkStart w:id="106" w:name="_Toc89825879"/>
      <w:bookmarkStart w:id="107" w:name="_Toc89826842"/>
      <w:r w:rsidRPr="00111F9B">
        <w:rPr>
          <w:sz w:val="24"/>
          <w:szCs w:val="24"/>
        </w:rPr>
        <w:t xml:space="preserve">    </w:t>
      </w:r>
      <w:r w:rsidR="00CC42C9" w:rsidRPr="00111F9B">
        <w:rPr>
          <w:sz w:val="24"/>
          <w:szCs w:val="24"/>
        </w:rPr>
        <w:t>Key Points</w:t>
      </w:r>
      <w:bookmarkEnd w:id="106"/>
      <w:bookmarkEnd w:id="107"/>
    </w:p>
    <w:p w:rsidR="007838DA" w:rsidRPr="00EA4E25" w:rsidRDefault="007838DA" w:rsidP="003A1F29">
      <w:pPr>
        <w:pStyle w:val="Heading3"/>
        <w:tabs>
          <w:tab w:val="clear" w:pos="851"/>
          <w:tab w:val="num" w:pos="1134"/>
        </w:tabs>
        <w:ind w:left="1134" w:hanging="1134"/>
      </w:pPr>
      <w:r w:rsidRPr="00111F9B">
        <w:t>This form should be reported on a pure year of account at</w:t>
      </w:r>
      <w:r w:rsidRPr="00EA4E25">
        <w:t xml:space="preserve"> ultimate basis.</w:t>
      </w:r>
    </w:p>
    <w:p w:rsidR="00CC42C9" w:rsidRPr="00EA4E25" w:rsidRDefault="00CC42C9" w:rsidP="003A1F29">
      <w:pPr>
        <w:pStyle w:val="Heading3"/>
        <w:tabs>
          <w:tab w:val="clear" w:pos="851"/>
          <w:tab w:val="num" w:pos="1134"/>
        </w:tabs>
        <w:ind w:left="1134" w:hanging="1134"/>
      </w:pPr>
      <w:r w:rsidRPr="00EA4E25">
        <w:t xml:space="preserve">Please take time to ensure that all numbers are correct. You must confirm that the data shown in this section is correct by ticking the box on the form. Failure to do so will prevent the submission of the data to </w:t>
      </w:r>
      <w:r w:rsidR="00B4045C" w:rsidRPr="00EA4E25">
        <w:t>PMD.</w:t>
      </w:r>
    </w:p>
    <w:p w:rsidR="00825685" w:rsidRPr="00EA4E25" w:rsidRDefault="00825685" w:rsidP="00825685">
      <w:bookmarkStart w:id="108" w:name="_Toc89825908"/>
      <w:bookmarkStart w:id="109" w:name="_Toc89826864"/>
      <w:bookmarkStart w:id="110" w:name="_Toc95271072"/>
      <w:bookmarkStart w:id="111" w:name="_Toc264275407"/>
      <w:bookmarkStart w:id="112" w:name="Eva_SBF_169_rewrite"/>
    </w:p>
    <w:p w:rsidR="009C2EBE" w:rsidRPr="00EA4E25" w:rsidRDefault="009C2EBE" w:rsidP="00235165">
      <w:pPr>
        <w:pStyle w:val="Heading1"/>
        <w:numPr>
          <w:ilvl w:val="0"/>
          <w:numId w:val="0"/>
        </w:numPr>
        <w:spacing w:after="0"/>
        <w:ind w:left="426"/>
      </w:pPr>
      <w:bookmarkStart w:id="113" w:name="_Toc89825904"/>
      <w:bookmarkStart w:id="114" w:name="_Toc89826861"/>
      <w:bookmarkStart w:id="115" w:name="_Toc95271075"/>
      <w:bookmarkStart w:id="116" w:name="_Toc264275411"/>
      <w:bookmarkEnd w:id="108"/>
      <w:bookmarkEnd w:id="109"/>
      <w:bookmarkEnd w:id="110"/>
      <w:bookmarkEnd w:id="111"/>
      <w:bookmarkEnd w:id="112"/>
    </w:p>
    <w:p w:rsidR="00445D4C" w:rsidRPr="00D63FE8" w:rsidRDefault="00445D4C" w:rsidP="00445D4C">
      <w:pPr>
        <w:pStyle w:val="Heading1"/>
        <w:tabs>
          <w:tab w:val="clear" w:pos="783"/>
          <w:tab w:val="num" w:pos="1134"/>
        </w:tabs>
        <w:spacing w:after="0"/>
        <w:ind w:left="1134" w:hanging="1134"/>
      </w:pPr>
      <w:bookmarkStart w:id="117" w:name="_Toc452126179"/>
      <w:r w:rsidRPr="00D63FE8">
        <w:t>SBF184 PREMIUM BRIDGING ANALYSIS (GROSS RARC)</w:t>
      </w:r>
      <w:bookmarkEnd w:id="117"/>
    </w:p>
    <w:p w:rsidR="00911DE6" w:rsidRPr="00D63FE8" w:rsidRDefault="00911DE6" w:rsidP="00911DE6"/>
    <w:p w:rsidR="00445D4C" w:rsidRPr="00D63FE8" w:rsidRDefault="00445D4C" w:rsidP="00445D4C">
      <w:pPr>
        <w:pStyle w:val="Heading1"/>
        <w:numPr>
          <w:ilvl w:val="0"/>
          <w:numId w:val="0"/>
        </w:numPr>
        <w:tabs>
          <w:tab w:val="left" w:pos="1134"/>
        </w:tabs>
        <w:spacing w:after="0"/>
        <w:ind w:left="1134"/>
      </w:pPr>
    </w:p>
    <w:p w:rsidR="00445D4C" w:rsidRPr="00D63FE8" w:rsidRDefault="00061345" w:rsidP="0043413C">
      <w:pPr>
        <w:pStyle w:val="Heading2"/>
        <w:tabs>
          <w:tab w:val="num" w:pos="851"/>
        </w:tabs>
        <w:ind w:left="1134" w:hanging="1134"/>
      </w:pPr>
      <w:r w:rsidRPr="00D63FE8">
        <w:rPr>
          <w:sz w:val="24"/>
          <w:szCs w:val="24"/>
        </w:rPr>
        <w:t xml:space="preserve">    </w:t>
      </w:r>
      <w:r w:rsidR="00445D4C" w:rsidRPr="00D63FE8">
        <w:rPr>
          <w:sz w:val="24"/>
          <w:szCs w:val="24"/>
        </w:rPr>
        <w:t>Summary</w:t>
      </w:r>
    </w:p>
    <w:p w:rsidR="00445D4C" w:rsidRPr="00D63FE8" w:rsidRDefault="00445D4C" w:rsidP="0043413C">
      <w:pPr>
        <w:pStyle w:val="Heading3"/>
        <w:numPr>
          <w:ilvl w:val="2"/>
          <w:numId w:val="17"/>
        </w:numPr>
        <w:tabs>
          <w:tab w:val="clear" w:pos="851"/>
          <w:tab w:val="num" w:pos="1134"/>
        </w:tabs>
        <w:ind w:left="1134" w:hanging="1134"/>
      </w:pPr>
      <w:r w:rsidRPr="00D63FE8">
        <w:t>The purpose of this form is to provide a premium bridging analysis showing a “walk” of changes to each class of business’ premiums from the current year to prospective year. The SBF184 captures premium changes on a gross premium basis, i.e. premium before the deduction of acquisit</w:t>
      </w:r>
      <w:r w:rsidR="00767748" w:rsidRPr="00D63FE8">
        <w:t>ion costs and SPA</w:t>
      </w:r>
      <w:r w:rsidRPr="00D63FE8">
        <w:t xml:space="preserve"> premium.  </w:t>
      </w:r>
    </w:p>
    <w:p w:rsidR="00445D4C" w:rsidRPr="00EA4E25" w:rsidRDefault="00061345" w:rsidP="0043413C">
      <w:pPr>
        <w:pStyle w:val="Heading2"/>
        <w:tabs>
          <w:tab w:val="num" w:pos="851"/>
        </w:tabs>
        <w:ind w:left="1134" w:hanging="1134"/>
      </w:pPr>
      <w:r w:rsidRPr="00EA4E25">
        <w:rPr>
          <w:sz w:val="24"/>
          <w:szCs w:val="24"/>
        </w:rPr>
        <w:t xml:space="preserve">    </w:t>
      </w:r>
      <w:r w:rsidR="00445D4C" w:rsidRPr="00EA4E25">
        <w:rPr>
          <w:sz w:val="24"/>
          <w:szCs w:val="24"/>
        </w:rPr>
        <w:t>Key Points</w:t>
      </w:r>
    </w:p>
    <w:p w:rsidR="00445D4C" w:rsidRPr="00EA4E25" w:rsidRDefault="00445D4C" w:rsidP="0043413C">
      <w:pPr>
        <w:pStyle w:val="Heading3"/>
        <w:numPr>
          <w:ilvl w:val="2"/>
          <w:numId w:val="17"/>
        </w:numPr>
        <w:tabs>
          <w:tab w:val="clear" w:pos="851"/>
          <w:tab w:val="num" w:pos="1134"/>
        </w:tabs>
        <w:ind w:left="1134" w:hanging="1134"/>
      </w:pPr>
      <w:r w:rsidRPr="00EA4E25">
        <w:t>This form should be completed on a pure year of account at ultimate basis.</w:t>
      </w:r>
    </w:p>
    <w:p w:rsidR="00445D4C" w:rsidRPr="00EA4E25" w:rsidRDefault="00445D4C" w:rsidP="0043413C">
      <w:pPr>
        <w:pStyle w:val="Heading3"/>
        <w:numPr>
          <w:ilvl w:val="2"/>
          <w:numId w:val="17"/>
        </w:numPr>
        <w:tabs>
          <w:tab w:val="clear" w:pos="851"/>
          <w:tab w:val="num" w:pos="1134"/>
        </w:tabs>
        <w:ind w:left="1134" w:hanging="1134"/>
      </w:pPr>
      <w:r w:rsidRPr="00EA4E25">
        <w:t>All entries in this section must be in CNV.</w:t>
      </w:r>
    </w:p>
    <w:p w:rsidR="00445D4C" w:rsidRPr="00EA4E25" w:rsidRDefault="00445D4C" w:rsidP="0043413C">
      <w:pPr>
        <w:pStyle w:val="Heading3"/>
        <w:numPr>
          <w:ilvl w:val="2"/>
          <w:numId w:val="17"/>
        </w:numPr>
        <w:tabs>
          <w:tab w:val="clear" w:pos="851"/>
          <w:tab w:val="num" w:pos="1134"/>
        </w:tabs>
        <w:ind w:left="1134" w:hanging="1134"/>
      </w:pPr>
      <w:r w:rsidRPr="00EA4E25">
        <w:t xml:space="preserve">The prospective year gross written premium on SBF184 column P should reconcile to gross written </w:t>
      </w:r>
      <w:r w:rsidR="00F313AD" w:rsidRPr="00EA4E25">
        <w:t>premium in form SBF105</w:t>
      </w:r>
      <w:r w:rsidRPr="00EA4E25">
        <w:t xml:space="preserve"> column C. </w:t>
      </w:r>
    </w:p>
    <w:p w:rsidR="00445D4C" w:rsidRPr="00EA4E25" w:rsidRDefault="00445D4C" w:rsidP="0043413C">
      <w:pPr>
        <w:pStyle w:val="Heading3"/>
        <w:numPr>
          <w:ilvl w:val="2"/>
          <w:numId w:val="17"/>
        </w:numPr>
        <w:tabs>
          <w:tab w:val="clear" w:pos="851"/>
          <w:tab w:val="num" w:pos="1134"/>
        </w:tabs>
        <w:ind w:left="1134" w:hanging="1134"/>
      </w:pPr>
      <w:r w:rsidRPr="00EA4E25">
        <w:t xml:space="preserve">The SBF184 includes the </w:t>
      </w:r>
      <w:r w:rsidRPr="00235165">
        <w:rPr>
          <w:color w:val="auto"/>
        </w:rPr>
        <w:t>previous year’s expiring premium in column C</w:t>
      </w:r>
      <w:r w:rsidR="00F313AD" w:rsidRPr="00235165">
        <w:rPr>
          <w:color w:val="auto"/>
        </w:rPr>
        <w:t>. This should equal the SBF105</w:t>
      </w:r>
      <w:r w:rsidRPr="00235165">
        <w:rPr>
          <w:color w:val="auto"/>
        </w:rPr>
        <w:t xml:space="preserve"> column C premi</w:t>
      </w:r>
      <w:r w:rsidR="009D6F19" w:rsidRPr="00235165">
        <w:rPr>
          <w:color w:val="auto"/>
        </w:rPr>
        <w:t xml:space="preserve">um from the latest approved </w:t>
      </w:r>
      <w:r w:rsidR="002779CA" w:rsidRPr="00235165">
        <w:rPr>
          <w:color w:val="auto"/>
        </w:rPr>
        <w:t>201</w:t>
      </w:r>
      <w:r w:rsidR="00773D82" w:rsidRPr="00235165">
        <w:rPr>
          <w:color w:val="auto"/>
        </w:rPr>
        <w:t>9</w:t>
      </w:r>
      <w:r w:rsidRPr="00235165">
        <w:rPr>
          <w:color w:val="auto"/>
        </w:rPr>
        <w:t xml:space="preserve"> SBF converted at the prospective year’s excha</w:t>
      </w:r>
      <w:r w:rsidR="009D6F19" w:rsidRPr="00235165">
        <w:rPr>
          <w:color w:val="auto"/>
        </w:rPr>
        <w:t>nge rates from SBF</w:t>
      </w:r>
      <w:r w:rsidR="003A52A3">
        <w:rPr>
          <w:color w:val="auto"/>
        </w:rPr>
        <w:t>0</w:t>
      </w:r>
      <w:r w:rsidR="009D6F19" w:rsidRPr="00235165">
        <w:rPr>
          <w:color w:val="auto"/>
        </w:rPr>
        <w:t xml:space="preserve">20 (i.e. </w:t>
      </w:r>
      <w:r w:rsidR="002779CA" w:rsidRPr="00235165">
        <w:rPr>
          <w:color w:val="auto"/>
        </w:rPr>
        <w:t>20</w:t>
      </w:r>
      <w:r w:rsidR="00773D82" w:rsidRPr="00235165">
        <w:rPr>
          <w:color w:val="auto"/>
        </w:rPr>
        <w:t>20</w:t>
      </w:r>
      <w:r w:rsidRPr="00235165">
        <w:rPr>
          <w:color w:val="auto"/>
        </w:rPr>
        <w:t xml:space="preserve"> SBF planning rates). All premium and acquisition costs data on SBF184 should be recorded at the prospective year’s planning exchange rates so there is no exchange rate distortion in the </w:t>
      </w:r>
      <w:r w:rsidRPr="00EA4E25">
        <w:t xml:space="preserve">rate change calculations. </w:t>
      </w:r>
    </w:p>
    <w:p w:rsidR="00445D4C" w:rsidRPr="00EA4E25" w:rsidRDefault="00445D4C" w:rsidP="0043413C">
      <w:pPr>
        <w:pStyle w:val="Heading3"/>
        <w:numPr>
          <w:ilvl w:val="2"/>
          <w:numId w:val="17"/>
        </w:numPr>
        <w:tabs>
          <w:tab w:val="clear" w:pos="851"/>
          <w:tab w:val="num" w:pos="1134"/>
        </w:tabs>
        <w:ind w:left="1134" w:hanging="1134"/>
      </w:pPr>
      <w:r w:rsidRPr="00EA4E25">
        <w:t xml:space="preserve">SBF184 collects previous year premium (column C), new business (column D) and non-renewed business (column E). From here, the expiring renewed premium can be determined (column F). This should effectively be the previous year’s expiring premium excluding non-renewed premium. </w:t>
      </w:r>
    </w:p>
    <w:p w:rsidR="00445D4C" w:rsidRPr="00EA4E25" w:rsidRDefault="00445D4C" w:rsidP="0043413C">
      <w:pPr>
        <w:pStyle w:val="Heading3"/>
        <w:numPr>
          <w:ilvl w:val="2"/>
          <w:numId w:val="17"/>
        </w:numPr>
        <w:tabs>
          <w:tab w:val="clear" w:pos="851"/>
          <w:tab w:val="num" w:pos="1134"/>
        </w:tabs>
        <w:ind w:left="1134" w:hanging="1134"/>
      </w:pPr>
      <w:r w:rsidRPr="00EA4E25">
        <w:t xml:space="preserve">The change in expiring renewed premium is split into component parts in line with the format of </w:t>
      </w:r>
      <w:r w:rsidR="003021E6" w:rsidRPr="00EA4E25">
        <w:t>PMDR</w:t>
      </w:r>
      <w:r w:rsidRPr="00EA4E25">
        <w:t xml:space="preserve">. These are changes in gross premium due to Deductible/Attachment Point (column G, in line with column 180 from </w:t>
      </w:r>
      <w:r w:rsidR="003021E6" w:rsidRPr="00EA4E25">
        <w:t>PMDR</w:t>
      </w:r>
      <w:r w:rsidRPr="00EA4E25">
        <w:t xml:space="preserve">), Breadth of Cover (column H, column 190 from </w:t>
      </w:r>
      <w:r w:rsidR="003021E6" w:rsidRPr="00EA4E25">
        <w:t>PMDR</w:t>
      </w:r>
      <w:r w:rsidRPr="00EA4E25">
        <w:t>),</w:t>
      </w:r>
      <w:r w:rsidR="00305529" w:rsidRPr="00EA4E25">
        <w:t xml:space="preserve"> </w:t>
      </w:r>
      <w:r w:rsidRPr="00EA4E25">
        <w:t xml:space="preserve">Other (column I, column 200 from </w:t>
      </w:r>
      <w:r w:rsidR="003021E6" w:rsidRPr="00EA4E25">
        <w:t>PMDR</w:t>
      </w:r>
      <w:r w:rsidRPr="00EA4E25">
        <w:t xml:space="preserve">) and Pure Rate Change (column L, column 210 from </w:t>
      </w:r>
      <w:r w:rsidR="003021E6" w:rsidRPr="00EA4E25">
        <w:t>PMDR</w:t>
      </w:r>
      <w:r w:rsidRPr="00EA4E25">
        <w:t>). Note that all these change fields are expressed as gross premium amounts. The change elements that bridge gross premium between last year and this year are shown in blue in the diagram below.</w:t>
      </w:r>
    </w:p>
    <w:p w:rsidR="00445D4C" w:rsidRPr="00EA4E25" w:rsidRDefault="00445D4C" w:rsidP="0043413C">
      <w:pPr>
        <w:pStyle w:val="Heading3"/>
        <w:numPr>
          <w:ilvl w:val="2"/>
          <w:numId w:val="17"/>
        </w:numPr>
        <w:tabs>
          <w:tab w:val="clear" w:pos="851"/>
          <w:tab w:val="num" w:pos="1134"/>
        </w:tabs>
        <w:ind w:left="1134" w:hanging="1134"/>
      </w:pPr>
      <w:r w:rsidRPr="00EA4E25">
        <w:t>SBF</w:t>
      </w:r>
      <w:r w:rsidR="00185DD9">
        <w:t>1</w:t>
      </w:r>
      <w:r w:rsidRPr="00EA4E25">
        <w:t>84 column J shows the gross premium that would be charged on last year’s pricing basis for the expiring renewed business after the effects of changes in Deductible/Attachment Point, Breadth of Cover and Other exposure (see diagram below).</w:t>
      </w:r>
    </w:p>
    <w:p w:rsidR="00445D4C" w:rsidRPr="00EA4E25" w:rsidRDefault="00445D4C" w:rsidP="0043413C">
      <w:pPr>
        <w:pStyle w:val="Heading3"/>
        <w:numPr>
          <w:ilvl w:val="2"/>
          <w:numId w:val="17"/>
        </w:numPr>
        <w:tabs>
          <w:tab w:val="clear" w:pos="851"/>
          <w:tab w:val="num" w:pos="1134"/>
        </w:tabs>
        <w:ind w:left="1134" w:hanging="1134"/>
      </w:pPr>
      <w:r w:rsidRPr="00EA4E25">
        <w:t xml:space="preserve">The Gross Risk Adjusted Rate Change (RARC) is calculated in column O as (column L)/(column M – column J). </w:t>
      </w:r>
    </w:p>
    <w:p w:rsidR="00A41AA3" w:rsidRPr="00EA4E25" w:rsidRDefault="00445D4C" w:rsidP="0043413C">
      <w:pPr>
        <w:pStyle w:val="Heading3"/>
        <w:numPr>
          <w:ilvl w:val="2"/>
          <w:numId w:val="17"/>
        </w:numPr>
        <w:tabs>
          <w:tab w:val="clear" w:pos="851"/>
          <w:tab w:val="num" w:pos="1134"/>
        </w:tabs>
        <w:ind w:left="1134" w:hanging="1134"/>
      </w:pPr>
      <w:r w:rsidRPr="00EA4E25">
        <w:t xml:space="preserve">SBF184 column K (in line with column 240 from </w:t>
      </w:r>
      <w:r w:rsidR="003021E6" w:rsidRPr="00EA4E25">
        <w:t>PMDR</w:t>
      </w:r>
      <w:r w:rsidRPr="00EA4E25">
        <w:t>) shows the acquisition cost component of renewed premium in SBF184 column J. The acquisition costs should be recorded as a negative amount. SBF184 column N shows the acquisition costs of the prospective year renewed premium in column M. Please note that the acquisition cost amounts are not used in the calculation of the Gross RARC (see shaded area in diagram).</w:t>
      </w:r>
      <w:r w:rsidR="00A41AA3" w:rsidRPr="00EA4E25">
        <w:t xml:space="preserve"> </w:t>
      </w:r>
    </w:p>
    <w:p w:rsidR="00445D4C" w:rsidRPr="00D63FE8" w:rsidRDefault="00A41AA3" w:rsidP="00A41AA3">
      <w:pPr>
        <w:pStyle w:val="Heading3"/>
        <w:numPr>
          <w:ilvl w:val="0"/>
          <w:numId w:val="0"/>
        </w:numPr>
        <w:tabs>
          <w:tab w:val="clear" w:pos="851"/>
        </w:tabs>
        <w:ind w:left="1134"/>
        <w:jc w:val="left"/>
      </w:pPr>
      <w:r w:rsidRPr="00EA4E25">
        <w:rPr>
          <w:u w:val="single"/>
        </w:rPr>
        <w:t xml:space="preserve">Diagrammatic </w:t>
      </w:r>
      <w:r w:rsidR="00445D4C" w:rsidRPr="00EA4E25">
        <w:rPr>
          <w:u w:val="single"/>
        </w:rPr>
        <w:t>Representation</w:t>
      </w:r>
      <w:r w:rsidRPr="00EA4E25">
        <w:rPr>
          <w:u w:val="single"/>
        </w:rPr>
        <w:t xml:space="preserve"> SBF</w:t>
      </w:r>
      <w:r w:rsidR="00445D4C" w:rsidRPr="00EA4E25">
        <w:rPr>
          <w:u w:val="single"/>
        </w:rPr>
        <w:t>184</w:t>
      </w:r>
      <w:r w:rsidR="00042572" w:rsidRPr="004219C1">
        <w:rPr>
          <w:noProof/>
          <w:lang w:eastAsia="en-GB"/>
        </w:rPr>
        <w:drawing>
          <wp:inline distT="0" distB="0" distL="0" distR="0" wp14:anchorId="18028E1E" wp14:editId="3512E646">
            <wp:extent cx="5149215" cy="2961005"/>
            <wp:effectExtent l="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9215" cy="2961005"/>
                    </a:xfrm>
                    <a:prstGeom prst="rect">
                      <a:avLst/>
                    </a:prstGeom>
                    <a:noFill/>
                    <a:ln>
                      <a:noFill/>
                    </a:ln>
                  </pic:spPr>
                </pic:pic>
              </a:graphicData>
            </a:graphic>
          </wp:inline>
        </w:drawing>
      </w:r>
    </w:p>
    <w:p w:rsidR="00E42E5A" w:rsidRPr="00EA4E25" w:rsidRDefault="00E42E5A" w:rsidP="00E42E5A">
      <w:pPr>
        <w:pStyle w:val="Heading1"/>
        <w:numPr>
          <w:ilvl w:val="0"/>
          <w:numId w:val="0"/>
        </w:numPr>
        <w:tabs>
          <w:tab w:val="left" w:pos="1134"/>
        </w:tabs>
        <w:ind w:left="1134"/>
      </w:pPr>
      <w:bookmarkStart w:id="118" w:name="_Toc95271076"/>
      <w:bookmarkStart w:id="119" w:name="_Toc264275412"/>
      <w:bookmarkEnd w:id="113"/>
      <w:bookmarkEnd w:id="114"/>
      <w:bookmarkEnd w:id="115"/>
      <w:bookmarkEnd w:id="116"/>
    </w:p>
    <w:p w:rsidR="00CC42C9" w:rsidRPr="00013A19" w:rsidRDefault="00CC42C9" w:rsidP="00BA165D">
      <w:pPr>
        <w:pStyle w:val="Heading1"/>
        <w:tabs>
          <w:tab w:val="clear" w:pos="783"/>
          <w:tab w:val="left" w:pos="1134"/>
        </w:tabs>
        <w:ind w:left="1134" w:hanging="1134"/>
      </w:pPr>
      <w:bookmarkStart w:id="120" w:name="_Toc452126181"/>
      <w:r w:rsidRPr="00013A19">
        <w:t>SBF420 CAPACITY INFORMATION</w:t>
      </w:r>
      <w:bookmarkEnd w:id="83"/>
      <w:bookmarkEnd w:id="84"/>
      <w:bookmarkEnd w:id="118"/>
      <w:bookmarkEnd w:id="119"/>
      <w:bookmarkEnd w:id="120"/>
    </w:p>
    <w:p w:rsidR="00B57AE4" w:rsidRPr="00013A19" w:rsidRDefault="00B57AE4" w:rsidP="00B57AE4"/>
    <w:p w:rsidR="00A77C19" w:rsidRPr="00013A19" w:rsidRDefault="00061345" w:rsidP="0074393D">
      <w:pPr>
        <w:pStyle w:val="Heading2"/>
        <w:tabs>
          <w:tab w:val="num" w:pos="851"/>
        </w:tabs>
        <w:ind w:left="1134" w:hanging="1134"/>
        <w:rPr>
          <w:sz w:val="24"/>
          <w:szCs w:val="24"/>
        </w:rPr>
      </w:pPr>
      <w:r w:rsidRPr="00013A19">
        <w:rPr>
          <w:sz w:val="24"/>
          <w:szCs w:val="24"/>
        </w:rPr>
        <w:t xml:space="preserve">    </w:t>
      </w:r>
      <w:r w:rsidR="00A77C19" w:rsidRPr="00013A19">
        <w:rPr>
          <w:sz w:val="24"/>
          <w:szCs w:val="24"/>
        </w:rPr>
        <w:t>Summary</w:t>
      </w:r>
    </w:p>
    <w:p w:rsidR="00A77C19" w:rsidRPr="00013A19" w:rsidRDefault="00A77C19" w:rsidP="000C715C">
      <w:pPr>
        <w:pStyle w:val="Heading3"/>
        <w:tabs>
          <w:tab w:val="clear" w:pos="851"/>
          <w:tab w:val="num" w:pos="1134"/>
        </w:tabs>
        <w:ind w:left="1134" w:hanging="1134"/>
      </w:pPr>
      <w:r w:rsidRPr="00013A19">
        <w:t>This section provides a breakdown of the syndicate’s estimated capacity. It also provides expected member participations of aligned corporate members.</w:t>
      </w:r>
    </w:p>
    <w:p w:rsidR="00A77C19" w:rsidRPr="00013A19" w:rsidRDefault="00061345" w:rsidP="0074393D">
      <w:pPr>
        <w:pStyle w:val="Heading2"/>
        <w:tabs>
          <w:tab w:val="num" w:pos="851"/>
        </w:tabs>
        <w:ind w:left="1134" w:hanging="1134"/>
        <w:rPr>
          <w:sz w:val="24"/>
          <w:szCs w:val="24"/>
        </w:rPr>
      </w:pPr>
      <w:r w:rsidRPr="00013A19">
        <w:rPr>
          <w:sz w:val="24"/>
          <w:szCs w:val="24"/>
        </w:rPr>
        <w:t xml:space="preserve">    </w:t>
      </w:r>
      <w:r w:rsidR="00A77C19" w:rsidRPr="00013A19">
        <w:rPr>
          <w:sz w:val="24"/>
          <w:szCs w:val="24"/>
        </w:rPr>
        <w:t>Key Points</w:t>
      </w:r>
    </w:p>
    <w:p w:rsidR="00160024" w:rsidRPr="00013A19" w:rsidRDefault="00160024" w:rsidP="000C715C">
      <w:pPr>
        <w:pStyle w:val="Heading3"/>
        <w:tabs>
          <w:tab w:val="clear" w:pos="851"/>
          <w:tab w:val="num" w:pos="1134"/>
        </w:tabs>
        <w:ind w:left="1134" w:hanging="1134"/>
        <w:rPr>
          <w:lang w:eastAsia="en-GB"/>
        </w:rPr>
      </w:pPr>
      <w:r w:rsidRPr="00013A19">
        <w:rPr>
          <w:lang w:eastAsia="en-GB"/>
        </w:rPr>
        <w:t xml:space="preserve">Managing </w:t>
      </w:r>
      <w:r w:rsidR="000325D0" w:rsidRPr="00013A19">
        <w:rPr>
          <w:lang w:eastAsia="en-GB"/>
        </w:rPr>
        <w:t>a</w:t>
      </w:r>
      <w:r w:rsidRPr="00013A19">
        <w:rPr>
          <w:lang w:eastAsia="en-GB"/>
        </w:rPr>
        <w:t xml:space="preserve">gents are required to confirm if they </w:t>
      </w:r>
      <w:r w:rsidR="006A51BF" w:rsidRPr="00013A19">
        <w:rPr>
          <w:lang w:eastAsia="en-GB"/>
        </w:rPr>
        <w:t xml:space="preserve">have </w:t>
      </w:r>
      <w:r w:rsidR="008A0DD2" w:rsidRPr="00013A19">
        <w:rPr>
          <w:lang w:eastAsia="en-GB"/>
        </w:rPr>
        <w:t xml:space="preserve">tradable or non-tradable </w:t>
      </w:r>
      <w:r w:rsidR="006A51BF" w:rsidRPr="00013A19">
        <w:rPr>
          <w:lang w:eastAsia="en-GB"/>
        </w:rPr>
        <w:t>capacity</w:t>
      </w:r>
      <w:r w:rsidR="00226367" w:rsidRPr="00013A19">
        <w:rPr>
          <w:lang w:eastAsia="en-GB"/>
        </w:rPr>
        <w:t>.</w:t>
      </w:r>
    </w:p>
    <w:p w:rsidR="00B57AE4" w:rsidRPr="00013A19" w:rsidRDefault="00A77C19" w:rsidP="00235165">
      <w:pPr>
        <w:pStyle w:val="Heading3"/>
        <w:tabs>
          <w:tab w:val="clear" w:pos="851"/>
          <w:tab w:val="num" w:pos="1134"/>
        </w:tabs>
        <w:ind w:left="1134" w:hanging="1134"/>
        <w:rPr>
          <w:lang w:eastAsia="en-GB"/>
        </w:rPr>
      </w:pPr>
      <w:r w:rsidRPr="00013A19">
        <w:t>The Estimated Level of Support column will show the total capacity of the syndicate split by various types – this includes new and existing capacity.</w:t>
      </w:r>
    </w:p>
    <w:p w:rsidR="00A77C19" w:rsidRPr="00013A19" w:rsidRDefault="00A77C19" w:rsidP="000C715C">
      <w:pPr>
        <w:pStyle w:val="Heading3"/>
        <w:tabs>
          <w:tab w:val="clear" w:pos="851"/>
          <w:tab w:val="num" w:pos="1134"/>
        </w:tabs>
        <w:ind w:left="1134" w:hanging="1134"/>
      </w:pPr>
      <w:r w:rsidRPr="00013A19">
        <w:t>This form should be on a reporting year of account basis.</w:t>
      </w:r>
    </w:p>
    <w:p w:rsidR="00A77C19" w:rsidRPr="00013A19" w:rsidRDefault="00A77C19" w:rsidP="000C715C">
      <w:pPr>
        <w:pStyle w:val="Heading3"/>
        <w:tabs>
          <w:tab w:val="clear" w:pos="851"/>
          <w:tab w:val="num" w:pos="1134"/>
        </w:tabs>
        <w:ind w:left="1134" w:hanging="1134"/>
      </w:pPr>
      <w:r w:rsidRPr="00013A19">
        <w:t>All entries in this section must be in CNV.</w:t>
      </w:r>
    </w:p>
    <w:p w:rsidR="00A77C19" w:rsidRPr="00013A19" w:rsidRDefault="00A77C19" w:rsidP="000C715C">
      <w:pPr>
        <w:pStyle w:val="Heading3"/>
        <w:tabs>
          <w:tab w:val="clear" w:pos="851"/>
          <w:tab w:val="left" w:pos="1134"/>
        </w:tabs>
        <w:ind w:left="1134" w:hanging="1134"/>
      </w:pPr>
      <w:r w:rsidRPr="00013A19">
        <w:t xml:space="preserve">Where a corporate member is new and no member number has yet been allocated by Lloyd's Members Services Unit then input a dummy member number </w:t>
      </w:r>
      <w:r w:rsidR="00C820DE" w:rsidRPr="00013A19">
        <w:t>999999</w:t>
      </w:r>
      <w:r w:rsidR="008A0DD2" w:rsidRPr="00013A19">
        <w:t>A</w:t>
      </w:r>
      <w:r w:rsidRPr="00013A19">
        <w:t>.</w:t>
      </w:r>
    </w:p>
    <w:p w:rsidR="00A77C19" w:rsidRPr="00013A19" w:rsidRDefault="00A77C19" w:rsidP="000C715C">
      <w:pPr>
        <w:pStyle w:val="Heading3"/>
        <w:tabs>
          <w:tab w:val="clear" w:pos="851"/>
          <w:tab w:val="left" w:pos="1134"/>
        </w:tabs>
        <w:ind w:left="1134" w:hanging="1134"/>
      </w:pPr>
      <w:r w:rsidRPr="00013A19">
        <w:t>Aligned capacity (line 1) is capacity provided by controllers / major shareholders associated with the managing agency</w:t>
      </w:r>
      <w:r w:rsidR="00051BE0" w:rsidRPr="00013A19">
        <w:t>.</w:t>
      </w:r>
    </w:p>
    <w:p w:rsidR="00A77C19" w:rsidRPr="00013A19" w:rsidRDefault="00A77C19" w:rsidP="000C715C">
      <w:pPr>
        <w:pStyle w:val="Heading3"/>
        <w:tabs>
          <w:tab w:val="clear" w:pos="851"/>
          <w:tab w:val="left" w:pos="1134"/>
        </w:tabs>
        <w:ind w:left="1134" w:hanging="1134"/>
      </w:pPr>
      <w:r w:rsidRPr="00013A19">
        <w:t>Othe</w:t>
      </w:r>
      <w:r w:rsidR="0084799D" w:rsidRPr="00013A19">
        <w:t>r direct corporate (line 2) is thi</w:t>
      </w:r>
      <w:r w:rsidRPr="00013A19">
        <w:t>rd party corporate capacity provided direct to syndicate.</w:t>
      </w:r>
    </w:p>
    <w:p w:rsidR="00616402" w:rsidRPr="00013A19" w:rsidRDefault="00616402" w:rsidP="00235165">
      <w:pPr>
        <w:pStyle w:val="Heading3"/>
        <w:tabs>
          <w:tab w:val="clear" w:pos="851"/>
          <w:tab w:val="num" w:pos="1134"/>
          <w:tab w:val="left" w:pos="1985"/>
        </w:tabs>
        <w:ind w:left="1134" w:hanging="1134"/>
        <w:rPr>
          <w:lang w:eastAsia="en-GB"/>
        </w:rPr>
      </w:pPr>
      <w:r w:rsidRPr="00013A19">
        <w:rPr>
          <w:lang w:eastAsia="en-GB"/>
        </w:rPr>
        <w:t>For aligned syndicates, the total aligned capacity should match the sum of aligned member participations (column E syndicate participations = column A1 aligned corporate level of support). Validations are in place to ensure that the correct data is submitted in the return.</w:t>
      </w:r>
    </w:p>
    <w:p w:rsidR="0074393D" w:rsidRPr="00013A19" w:rsidRDefault="00767748" w:rsidP="00235165">
      <w:pPr>
        <w:pStyle w:val="Heading3"/>
        <w:tabs>
          <w:tab w:val="clear" w:pos="851"/>
          <w:tab w:val="num" w:pos="1134"/>
        </w:tabs>
        <w:ind w:left="1134" w:hanging="1134"/>
        <w:rPr>
          <w:lang w:eastAsia="en-GB"/>
        </w:rPr>
      </w:pPr>
      <w:r w:rsidRPr="00013A19">
        <w:rPr>
          <w:lang w:eastAsia="en-GB"/>
        </w:rPr>
        <w:t>Syndicates with SPA</w:t>
      </w:r>
      <w:r w:rsidR="00464BF6" w:rsidRPr="00013A19">
        <w:rPr>
          <w:lang w:eastAsia="en-GB"/>
        </w:rPr>
        <w:t xml:space="preserve">s are </w:t>
      </w:r>
      <w:r w:rsidRPr="00013A19">
        <w:rPr>
          <w:lang w:eastAsia="en-GB"/>
        </w:rPr>
        <w:t xml:space="preserve">required to report the </w:t>
      </w:r>
      <w:r w:rsidR="007D43E6">
        <w:rPr>
          <w:lang w:eastAsia="en-GB"/>
        </w:rPr>
        <w:t xml:space="preserve">Total Capacity Ceded to SPA </w:t>
      </w:r>
      <w:r w:rsidR="00464BF6" w:rsidRPr="00013A19">
        <w:rPr>
          <w:lang w:eastAsia="en-GB"/>
        </w:rPr>
        <w:t>in line 5</w:t>
      </w:r>
      <w:r w:rsidR="001A4950" w:rsidRPr="00013A19">
        <w:rPr>
          <w:lang w:eastAsia="en-GB"/>
        </w:rPr>
        <w:t>.</w:t>
      </w:r>
      <w:r w:rsidRPr="00013A19">
        <w:rPr>
          <w:lang w:eastAsia="en-GB"/>
        </w:rPr>
        <w:t xml:space="preserve"> The total SPA</w:t>
      </w:r>
      <w:r w:rsidR="00464BF6" w:rsidRPr="00013A19">
        <w:rPr>
          <w:lang w:eastAsia="en-GB"/>
        </w:rPr>
        <w:t xml:space="preserve">s capacity should reconcile to the </w:t>
      </w:r>
      <w:r w:rsidRPr="00013A19">
        <w:rPr>
          <w:lang w:eastAsia="en-GB"/>
        </w:rPr>
        <w:t>total amount reported by the SPA</w:t>
      </w:r>
      <w:r w:rsidR="00464BF6" w:rsidRPr="00013A19">
        <w:rPr>
          <w:lang w:eastAsia="en-GB"/>
        </w:rPr>
        <w:t>s in each business plan.</w:t>
      </w:r>
      <w:bookmarkStart w:id="121" w:name="_Toc89825887"/>
      <w:bookmarkStart w:id="122" w:name="_Toc89826848"/>
    </w:p>
    <w:p w:rsidR="0074393D" w:rsidRPr="00013A19" w:rsidRDefault="0074393D" w:rsidP="0074393D">
      <w:pPr>
        <w:pStyle w:val="Heading3"/>
        <w:numPr>
          <w:ilvl w:val="0"/>
          <w:numId w:val="0"/>
        </w:numPr>
        <w:tabs>
          <w:tab w:val="clear" w:pos="851"/>
          <w:tab w:val="left" w:pos="1134"/>
        </w:tabs>
        <w:rPr>
          <w:lang w:eastAsia="en-GB"/>
        </w:rPr>
      </w:pPr>
    </w:p>
    <w:p w:rsidR="00270843" w:rsidRPr="00D63FE8" w:rsidRDefault="00270843" w:rsidP="00270843">
      <w:pPr>
        <w:pStyle w:val="Heading1"/>
        <w:tabs>
          <w:tab w:val="clear" w:pos="783"/>
          <w:tab w:val="left" w:pos="1134"/>
        </w:tabs>
        <w:spacing w:after="0"/>
        <w:ind w:left="1134" w:hanging="1134"/>
      </w:pPr>
      <w:bookmarkStart w:id="123" w:name="_Toc452126182"/>
      <w:r w:rsidRPr="00013A19">
        <w:t>SBF443 UNDERWRITING</w:t>
      </w:r>
      <w:r w:rsidRPr="00D63FE8">
        <w:t xml:space="preserve"> CONTROLS</w:t>
      </w:r>
      <w:bookmarkEnd w:id="123"/>
      <w:r w:rsidRPr="00D63FE8">
        <w:t xml:space="preserve">  </w:t>
      </w:r>
    </w:p>
    <w:p w:rsidR="00B57AE4" w:rsidRPr="00EA4E25" w:rsidRDefault="00B57AE4" w:rsidP="00B57AE4"/>
    <w:p w:rsidR="00270843" w:rsidRPr="00EA4E25" w:rsidRDefault="00270843" w:rsidP="00270843"/>
    <w:p w:rsidR="00270843" w:rsidRPr="00EA4E25" w:rsidRDefault="00061345" w:rsidP="0074393D">
      <w:pPr>
        <w:pStyle w:val="Heading2"/>
        <w:tabs>
          <w:tab w:val="num" w:pos="851"/>
        </w:tabs>
        <w:ind w:left="1134" w:hanging="1134"/>
        <w:rPr>
          <w:sz w:val="24"/>
          <w:szCs w:val="24"/>
        </w:rPr>
      </w:pPr>
      <w:r w:rsidRPr="00EA4E25">
        <w:rPr>
          <w:sz w:val="24"/>
          <w:szCs w:val="24"/>
        </w:rPr>
        <w:t xml:space="preserve">   </w:t>
      </w:r>
      <w:r w:rsidR="00270843" w:rsidRPr="00EA4E25">
        <w:rPr>
          <w:sz w:val="24"/>
          <w:szCs w:val="24"/>
        </w:rPr>
        <w:t>Summary</w:t>
      </w:r>
    </w:p>
    <w:p w:rsidR="00270843" w:rsidRPr="00D63FE8" w:rsidRDefault="00270843" w:rsidP="004D4456">
      <w:pPr>
        <w:pStyle w:val="Heading3"/>
        <w:tabs>
          <w:tab w:val="clear" w:pos="851"/>
          <w:tab w:val="num" w:pos="1134"/>
        </w:tabs>
        <w:ind w:left="1134" w:hanging="1134"/>
      </w:pPr>
      <w:r w:rsidRPr="00D63FE8">
        <w:t>This section shows the maximum gross and net line sizes for each syndicate’s class of business</w:t>
      </w:r>
    </w:p>
    <w:p w:rsidR="00270843" w:rsidRPr="00D63FE8" w:rsidRDefault="00270843" w:rsidP="004D4456">
      <w:pPr>
        <w:pStyle w:val="Heading3"/>
        <w:tabs>
          <w:tab w:val="clear" w:pos="851"/>
          <w:tab w:val="num" w:pos="1134"/>
        </w:tabs>
        <w:ind w:left="1134" w:hanging="1134"/>
      </w:pPr>
      <w:r w:rsidRPr="00D63FE8">
        <w:t xml:space="preserve">Line sizes can be provided </w:t>
      </w:r>
      <w:r w:rsidR="00234404" w:rsidRPr="00D63FE8">
        <w:t>in</w:t>
      </w:r>
      <w:r w:rsidRPr="00D63FE8">
        <w:t xml:space="preserve"> five currencies: GBP, USD, EUR, CAD, AUD. A</w:t>
      </w:r>
      <w:r w:rsidRPr="00D63FE8">
        <w:rPr>
          <w:lang w:eastAsia="en-GB"/>
        </w:rPr>
        <w:t>ll other currencies should be reported under the GBP heading in sterling.</w:t>
      </w:r>
    </w:p>
    <w:p w:rsidR="00270843" w:rsidRPr="00D63FE8" w:rsidRDefault="00270843" w:rsidP="004D4456">
      <w:pPr>
        <w:pStyle w:val="Heading3"/>
        <w:tabs>
          <w:tab w:val="clear" w:pos="851"/>
          <w:tab w:val="num" w:pos="1134"/>
        </w:tabs>
        <w:ind w:left="1134" w:hanging="1134"/>
      </w:pPr>
      <w:r w:rsidRPr="00D63FE8">
        <w:t>An additional</w:t>
      </w:r>
      <w:r w:rsidR="00BB1EBC" w:rsidRPr="00D63FE8">
        <w:t xml:space="preserve"> distribution channel</w:t>
      </w:r>
      <w:r w:rsidRPr="00D63FE8">
        <w:t xml:space="preserve"> column has been added to the form. This column should be used where a syndicate is operating on any overseas </w:t>
      </w:r>
      <w:r w:rsidR="00BB1EBC" w:rsidRPr="00D63FE8">
        <w:t>distribution channel</w:t>
      </w:r>
      <w:r w:rsidR="002D3B63" w:rsidRPr="00D63FE8">
        <w:t xml:space="preserve"> </w:t>
      </w:r>
      <w:r w:rsidR="00773D82" w:rsidRPr="00235165">
        <w:t>(</w:t>
      </w:r>
      <w:r w:rsidR="002D3B63" w:rsidRPr="00D63FE8">
        <w:t>including</w:t>
      </w:r>
      <w:r w:rsidR="00773D82" w:rsidRPr="00235165">
        <w:t xml:space="preserve"> the</w:t>
      </w:r>
      <w:r w:rsidR="002D3B63" w:rsidRPr="00D63FE8">
        <w:t xml:space="preserve"> Europe distribution channel</w:t>
      </w:r>
      <w:r w:rsidR="00773D82" w:rsidRPr="00235165">
        <w:t>)</w:t>
      </w:r>
      <w:r w:rsidRPr="00D63FE8">
        <w:t xml:space="preserve">. This should be completed for each </w:t>
      </w:r>
      <w:r w:rsidR="00BB1EBC" w:rsidRPr="00D63FE8">
        <w:t>distribution channel</w:t>
      </w:r>
      <w:r w:rsidRPr="00D63FE8">
        <w:t xml:space="preserve"> and completed for all classes of business. </w:t>
      </w:r>
      <w:r w:rsidR="00BB1EBC" w:rsidRPr="00D63FE8">
        <w:t xml:space="preserve">Rationale should be provided in Form 990 when the line size for any overseas distribution channel is larger than that for London. </w:t>
      </w:r>
    </w:p>
    <w:p w:rsidR="00270843" w:rsidRPr="00D63FE8" w:rsidRDefault="00061345" w:rsidP="0074393D">
      <w:pPr>
        <w:pStyle w:val="Heading2"/>
        <w:tabs>
          <w:tab w:val="num" w:pos="851"/>
        </w:tabs>
        <w:ind w:left="1134" w:hanging="1134"/>
        <w:rPr>
          <w:sz w:val="24"/>
          <w:szCs w:val="24"/>
        </w:rPr>
      </w:pPr>
      <w:r w:rsidRPr="00D63FE8">
        <w:rPr>
          <w:sz w:val="24"/>
          <w:szCs w:val="24"/>
        </w:rPr>
        <w:t xml:space="preserve">    </w:t>
      </w:r>
      <w:r w:rsidR="00270843" w:rsidRPr="00D63FE8">
        <w:rPr>
          <w:sz w:val="24"/>
          <w:szCs w:val="24"/>
        </w:rPr>
        <w:t>Key Points</w:t>
      </w:r>
    </w:p>
    <w:p w:rsidR="00270843" w:rsidRPr="00D63FE8" w:rsidRDefault="00270843" w:rsidP="004D4456">
      <w:pPr>
        <w:pStyle w:val="Heading3"/>
        <w:tabs>
          <w:tab w:val="clear" w:pos="851"/>
          <w:tab w:val="num" w:pos="1134"/>
          <w:tab w:val="left" w:pos="1170"/>
        </w:tabs>
        <w:ind w:left="1134" w:hanging="1134"/>
      </w:pPr>
      <w:r w:rsidRPr="00D63FE8">
        <w:t xml:space="preserve">Franchise Guidelines for maximum line sizes are measured as a percentage of gross premium income </w:t>
      </w:r>
    </w:p>
    <w:p w:rsidR="00270843" w:rsidRPr="00D63FE8" w:rsidRDefault="00270843" w:rsidP="00235165">
      <w:pPr>
        <w:pStyle w:val="Heading3"/>
        <w:tabs>
          <w:tab w:val="clear" w:pos="851"/>
          <w:tab w:val="num" w:pos="1134"/>
          <w:tab w:val="left" w:pos="1170"/>
        </w:tabs>
        <w:ind w:left="1134" w:hanging="1134"/>
      </w:pPr>
      <w:r w:rsidRPr="00D63FE8">
        <w:t>The form must be completed for the prospective year of account.</w:t>
      </w:r>
    </w:p>
    <w:p w:rsidR="00B57AE4" w:rsidRPr="00D63FE8" w:rsidRDefault="00270843" w:rsidP="00EF50F0">
      <w:pPr>
        <w:pStyle w:val="Heading3"/>
        <w:tabs>
          <w:tab w:val="clear" w:pos="851"/>
          <w:tab w:val="left" w:pos="1170"/>
        </w:tabs>
        <w:ind w:left="1146" w:hanging="1146"/>
        <w:rPr>
          <w:rFonts w:cs="Arial"/>
          <w:iCs/>
          <w:lang w:eastAsia="en-GB"/>
        </w:rPr>
      </w:pPr>
      <w:r w:rsidRPr="00D63FE8">
        <w:t>This form should be on a reporting year of account basis.</w:t>
      </w:r>
    </w:p>
    <w:p w:rsidR="00270843" w:rsidRPr="00D63FE8" w:rsidRDefault="00270843" w:rsidP="004D4456">
      <w:pPr>
        <w:pStyle w:val="Heading3"/>
        <w:tabs>
          <w:tab w:val="clear" w:pos="851"/>
          <w:tab w:val="num" w:pos="1134"/>
          <w:tab w:val="left" w:pos="1170"/>
        </w:tabs>
        <w:ind w:left="1134" w:hanging="1134"/>
        <w:rPr>
          <w:rFonts w:cs="Arial"/>
          <w:iCs/>
          <w:lang w:eastAsia="en-GB"/>
        </w:rPr>
      </w:pPr>
      <w:r w:rsidRPr="00D63FE8">
        <w:rPr>
          <w:rFonts w:cs="Arial"/>
          <w:iCs/>
          <w:lang w:eastAsia="en-GB"/>
        </w:rPr>
        <w:t>“Class of business” (columns A and B) should reflect the “Limit Type” (column C) definitions prescribed for the classes referred to in the attached document (below)</w:t>
      </w:r>
      <w:r w:rsidR="00F313AD" w:rsidRPr="00D63FE8">
        <w:rPr>
          <w:rFonts w:cs="Arial"/>
          <w:iCs/>
          <w:lang w:eastAsia="en-GB"/>
        </w:rPr>
        <w:t>.</w:t>
      </w:r>
      <w:r w:rsidR="005F15E3" w:rsidRPr="00D63FE8">
        <w:rPr>
          <w:rFonts w:cs="Arial"/>
          <w:iCs/>
          <w:lang w:eastAsia="en-GB"/>
        </w:rPr>
        <w:t xml:space="preserve">. </w:t>
      </w:r>
      <w:r w:rsidR="00687BDA" w:rsidRPr="00D63FE8">
        <w:rPr>
          <w:rFonts w:cs="Arial"/>
          <w:iCs/>
          <w:lang w:eastAsia="en-GB"/>
        </w:rPr>
        <w:t>Syndicates are</w:t>
      </w:r>
      <w:r w:rsidR="00F313AD" w:rsidRPr="00D63FE8">
        <w:rPr>
          <w:rFonts w:cs="Arial"/>
          <w:iCs/>
          <w:lang w:eastAsia="en-GB"/>
        </w:rPr>
        <w:t xml:space="preserve"> required to enter the combined code</w:t>
      </w:r>
      <w:r w:rsidR="00687BDA" w:rsidRPr="00D63FE8">
        <w:rPr>
          <w:rFonts w:cs="Arial"/>
          <w:iCs/>
          <w:lang w:eastAsia="en-GB"/>
        </w:rPr>
        <w:t>, as provided in the attached table,</w:t>
      </w:r>
      <w:r w:rsidR="00F313AD" w:rsidRPr="00D63FE8">
        <w:rPr>
          <w:rFonts w:cs="Arial"/>
          <w:iCs/>
          <w:lang w:eastAsia="en-GB"/>
        </w:rPr>
        <w:t xml:space="preserve"> in column C (this is a free text field) and column C1 will automatically populate with the Max Line definition from the attachment</w:t>
      </w:r>
      <w:r w:rsidRPr="00D63FE8">
        <w:rPr>
          <w:rFonts w:cs="Arial"/>
          <w:iCs/>
          <w:lang w:eastAsia="en-GB"/>
        </w:rPr>
        <w:t>. Where applicable, syndicates should supply their maximum lines in accordance with these definitions. If the class descriptions differ from those specified in the attached document, you should adhere to the prescribed “Limit Type” definition as closely as possible. Differences should be explained in form 990.</w:t>
      </w:r>
    </w:p>
    <w:bookmarkStart w:id="124" w:name="_MON_1557149075"/>
    <w:bookmarkEnd w:id="124"/>
    <w:p w:rsidR="00270843" w:rsidRPr="00EA4E25" w:rsidRDefault="001B0063" w:rsidP="00270843">
      <w:pPr>
        <w:pStyle w:val="Heading3"/>
        <w:numPr>
          <w:ilvl w:val="0"/>
          <w:numId w:val="0"/>
        </w:numPr>
        <w:tabs>
          <w:tab w:val="clear" w:pos="851"/>
          <w:tab w:val="left" w:pos="1134"/>
        </w:tabs>
        <w:ind w:left="1854" w:hanging="720"/>
        <w:rPr>
          <w:color w:val="FF0000"/>
        </w:rPr>
      </w:pPr>
      <w:r w:rsidRPr="004E41DE">
        <w:object w:dxaOrig="2040" w:dyaOrig="1320" w14:anchorId="56DC58F1">
          <v:shape id="_x0000_i1026" type="#_x0000_t75" style="width:102.05pt;height:65.75pt" o:ole="">
            <v:imagedata r:id="rId26" o:title=""/>
          </v:shape>
          <o:OLEObject Type="Embed" ProgID="Word.Document.12" ShapeID="_x0000_i1026" DrawAspect="Icon" ObjectID="_1628599254" r:id="rId27">
            <o:FieldCodes>\s</o:FieldCodes>
          </o:OLEObject>
        </w:object>
      </w:r>
    </w:p>
    <w:p w:rsidR="00270843" w:rsidRPr="00EA4E25" w:rsidRDefault="00270843" w:rsidP="00270843">
      <w:pPr>
        <w:pStyle w:val="Heading3"/>
        <w:numPr>
          <w:ilvl w:val="0"/>
          <w:numId w:val="0"/>
        </w:numPr>
        <w:tabs>
          <w:tab w:val="clear" w:pos="851"/>
          <w:tab w:val="left" w:pos="1134"/>
        </w:tabs>
        <w:ind w:left="1146" w:hanging="720"/>
        <w:rPr>
          <w:color w:val="auto"/>
        </w:rPr>
      </w:pPr>
      <w:r w:rsidRPr="00EA4E25">
        <w:rPr>
          <w:color w:val="FF0000"/>
        </w:rPr>
        <w:tab/>
      </w:r>
      <w:r w:rsidR="009D3128" w:rsidRPr="00EA4E25">
        <w:rPr>
          <w:color w:val="auto"/>
        </w:rPr>
        <w:t>For those classes not specifically referred to in the attached document you should record the limit type which is most appropriate for your class of business.</w:t>
      </w:r>
      <w:r w:rsidR="00F313AD" w:rsidRPr="00EA4E25">
        <w:rPr>
          <w:color w:val="auto"/>
        </w:rPr>
        <w:t xml:space="preserve"> The text entered in column C will automatically populate column C1 with the same text.</w:t>
      </w:r>
      <w:r w:rsidR="009D3128" w:rsidRPr="00EA4E25">
        <w:rPr>
          <w:color w:val="auto"/>
        </w:rPr>
        <w:t xml:space="preserve"> You may select the</w:t>
      </w:r>
      <w:r w:rsidR="00435CDE" w:rsidRPr="00EA4E25">
        <w:rPr>
          <w:color w:val="auto"/>
        </w:rPr>
        <w:t xml:space="preserve"> </w:t>
      </w:r>
      <w:r w:rsidR="009D3128" w:rsidRPr="00EA4E25">
        <w:rPr>
          <w:color w:val="auto"/>
        </w:rPr>
        <w:t xml:space="preserve">limit type definition from the examples listed below or use those definitions prescribed in the Limit Type Form.  Please leave blank if your line size is “unlimited”. </w:t>
      </w:r>
    </w:p>
    <w:p w:rsidR="00270843" w:rsidRPr="00D63FE8" w:rsidRDefault="00270843" w:rsidP="00270843">
      <w:pPr>
        <w:numPr>
          <w:ilvl w:val="0"/>
          <w:numId w:val="10"/>
        </w:numPr>
        <w:tabs>
          <w:tab w:val="clear" w:pos="1135"/>
          <w:tab w:val="left" w:pos="1134"/>
        </w:tabs>
        <w:ind w:left="1134" w:firstLine="0"/>
        <w:rPr>
          <w:szCs w:val="22"/>
        </w:rPr>
      </w:pPr>
      <w:r w:rsidRPr="00EA4E25">
        <w:rPr>
          <w:szCs w:val="22"/>
        </w:rPr>
        <w:t xml:space="preserve">Any </w:t>
      </w:r>
      <w:r w:rsidRPr="00D63FE8">
        <w:rPr>
          <w:szCs w:val="22"/>
        </w:rPr>
        <w:t>one claim</w:t>
      </w:r>
    </w:p>
    <w:p w:rsidR="00270843" w:rsidRPr="00D63FE8" w:rsidRDefault="00270843" w:rsidP="00270843">
      <w:pPr>
        <w:numPr>
          <w:ilvl w:val="0"/>
          <w:numId w:val="10"/>
        </w:numPr>
        <w:tabs>
          <w:tab w:val="clear" w:pos="1135"/>
          <w:tab w:val="left" w:pos="1134"/>
        </w:tabs>
        <w:ind w:left="1134" w:firstLine="0"/>
        <w:rPr>
          <w:szCs w:val="22"/>
        </w:rPr>
      </w:pPr>
      <w:r w:rsidRPr="00D63FE8">
        <w:rPr>
          <w:szCs w:val="22"/>
        </w:rPr>
        <w:t>Any one event</w:t>
      </w:r>
    </w:p>
    <w:p w:rsidR="00270843" w:rsidRPr="00D63FE8" w:rsidRDefault="00270843" w:rsidP="00270843">
      <w:pPr>
        <w:numPr>
          <w:ilvl w:val="0"/>
          <w:numId w:val="10"/>
        </w:numPr>
        <w:tabs>
          <w:tab w:val="clear" w:pos="1135"/>
          <w:tab w:val="left" w:pos="1134"/>
        </w:tabs>
        <w:ind w:left="1134" w:firstLine="0"/>
        <w:rPr>
          <w:szCs w:val="22"/>
        </w:rPr>
      </w:pPr>
      <w:r w:rsidRPr="00D63FE8">
        <w:rPr>
          <w:szCs w:val="22"/>
        </w:rPr>
        <w:t>Any one known accumulation</w:t>
      </w:r>
    </w:p>
    <w:p w:rsidR="00270843" w:rsidRPr="00D63FE8" w:rsidRDefault="00270843" w:rsidP="00270843">
      <w:pPr>
        <w:numPr>
          <w:ilvl w:val="0"/>
          <w:numId w:val="10"/>
        </w:numPr>
        <w:tabs>
          <w:tab w:val="clear" w:pos="1135"/>
          <w:tab w:val="left" w:pos="1134"/>
        </w:tabs>
        <w:ind w:left="1134" w:firstLine="0"/>
        <w:rPr>
          <w:szCs w:val="22"/>
        </w:rPr>
      </w:pPr>
      <w:r w:rsidRPr="00D63FE8">
        <w:rPr>
          <w:szCs w:val="22"/>
        </w:rPr>
        <w:t>Any one life</w:t>
      </w:r>
    </w:p>
    <w:p w:rsidR="00270843" w:rsidRPr="00D63FE8" w:rsidRDefault="00270843" w:rsidP="00270843">
      <w:pPr>
        <w:numPr>
          <w:ilvl w:val="0"/>
          <w:numId w:val="10"/>
        </w:numPr>
        <w:tabs>
          <w:tab w:val="clear" w:pos="1135"/>
          <w:tab w:val="left" w:pos="1134"/>
        </w:tabs>
        <w:ind w:firstLine="0"/>
        <w:rPr>
          <w:szCs w:val="22"/>
        </w:rPr>
      </w:pPr>
      <w:r w:rsidRPr="00D63FE8">
        <w:rPr>
          <w:szCs w:val="22"/>
        </w:rPr>
        <w:t>Any one risk</w:t>
      </w:r>
    </w:p>
    <w:p w:rsidR="00270843" w:rsidRPr="00D63FE8" w:rsidRDefault="00270843" w:rsidP="00270843">
      <w:pPr>
        <w:numPr>
          <w:ilvl w:val="0"/>
          <w:numId w:val="10"/>
        </w:numPr>
        <w:tabs>
          <w:tab w:val="clear" w:pos="1135"/>
          <w:tab w:val="left" w:pos="1134"/>
        </w:tabs>
        <w:ind w:firstLine="0"/>
        <w:rPr>
          <w:szCs w:val="22"/>
        </w:rPr>
      </w:pPr>
      <w:r w:rsidRPr="00D63FE8">
        <w:rPr>
          <w:szCs w:val="22"/>
        </w:rPr>
        <w:t>Any one insured</w:t>
      </w:r>
    </w:p>
    <w:p w:rsidR="00270843" w:rsidRPr="00D63FE8" w:rsidRDefault="00270843" w:rsidP="00270843">
      <w:pPr>
        <w:ind w:left="1135"/>
        <w:rPr>
          <w:szCs w:val="22"/>
        </w:rPr>
      </w:pPr>
    </w:p>
    <w:p w:rsidR="00270843" w:rsidRPr="00D63FE8" w:rsidRDefault="00270843" w:rsidP="004D4456">
      <w:pPr>
        <w:pStyle w:val="Heading3"/>
        <w:tabs>
          <w:tab w:val="clear" w:pos="851"/>
          <w:tab w:val="num" w:pos="1134"/>
        </w:tabs>
        <w:ind w:left="1134" w:hanging="1134"/>
        <w:rPr>
          <w:color w:val="auto"/>
        </w:rPr>
      </w:pPr>
      <w:r w:rsidRPr="00D63FE8">
        <w:t>“Currency” (column D): all entries in this section can be made in five currencies (GBP, USD, EUR, CAD, AUD). A</w:t>
      </w:r>
      <w:r w:rsidRPr="00D63FE8">
        <w:rPr>
          <w:lang w:eastAsia="en-GB"/>
        </w:rPr>
        <w:t>ll other currencies should be reported un</w:t>
      </w:r>
      <w:r w:rsidR="00F313AD" w:rsidRPr="00D63FE8">
        <w:rPr>
          <w:lang w:eastAsia="en-GB"/>
        </w:rPr>
        <w:t>der the GBP heading in sterling</w:t>
      </w:r>
      <w:r w:rsidRPr="00D63FE8">
        <w:rPr>
          <w:lang w:eastAsia="en-GB"/>
        </w:rPr>
        <w:t>.</w:t>
      </w:r>
    </w:p>
    <w:p w:rsidR="00270843" w:rsidRPr="00D63FE8" w:rsidRDefault="00270843" w:rsidP="004D4456">
      <w:pPr>
        <w:pStyle w:val="Heading3"/>
        <w:tabs>
          <w:tab w:val="clear" w:pos="851"/>
          <w:tab w:val="num" w:pos="1134"/>
        </w:tabs>
        <w:ind w:left="1134" w:hanging="1134"/>
        <w:rPr>
          <w:color w:val="auto"/>
        </w:rPr>
      </w:pPr>
      <w:r w:rsidRPr="00D63FE8">
        <w:rPr>
          <w:color w:val="auto"/>
        </w:rPr>
        <w:t>The following information should be reported for each class of business:</w:t>
      </w:r>
    </w:p>
    <w:p w:rsidR="00270843" w:rsidRPr="00D63FE8" w:rsidRDefault="00270843" w:rsidP="00270843">
      <w:pPr>
        <w:pStyle w:val="Heading3"/>
        <w:numPr>
          <w:ilvl w:val="5"/>
          <w:numId w:val="6"/>
        </w:numPr>
        <w:tabs>
          <w:tab w:val="clear" w:pos="851"/>
          <w:tab w:val="left" w:pos="1134"/>
        </w:tabs>
        <w:ind w:firstLine="54"/>
        <w:rPr>
          <w:color w:val="auto"/>
        </w:rPr>
      </w:pPr>
      <w:r w:rsidRPr="00D63FE8">
        <w:t>Unlimited Line Size (Y/N), column E</w:t>
      </w:r>
    </w:p>
    <w:p w:rsidR="00270843" w:rsidRPr="00D63FE8" w:rsidRDefault="00270843" w:rsidP="00270843">
      <w:pPr>
        <w:pStyle w:val="Heading3"/>
        <w:numPr>
          <w:ilvl w:val="3"/>
          <w:numId w:val="6"/>
        </w:numPr>
        <w:tabs>
          <w:tab w:val="clear" w:pos="720"/>
          <w:tab w:val="clear" w:pos="851"/>
        </w:tabs>
        <w:ind w:firstLine="414"/>
        <w:rPr>
          <w:color w:val="auto"/>
        </w:rPr>
      </w:pPr>
      <w:r w:rsidRPr="00D63FE8">
        <w:rPr>
          <w:color w:val="auto"/>
        </w:rPr>
        <w:t>Absolute Maximum Gross Line, column F</w:t>
      </w:r>
    </w:p>
    <w:p w:rsidR="00270843" w:rsidRPr="00D63FE8" w:rsidRDefault="00270843" w:rsidP="00270843">
      <w:pPr>
        <w:pStyle w:val="Heading3"/>
        <w:numPr>
          <w:ilvl w:val="3"/>
          <w:numId w:val="6"/>
        </w:numPr>
        <w:tabs>
          <w:tab w:val="clear" w:pos="720"/>
          <w:tab w:val="clear" w:pos="851"/>
        </w:tabs>
        <w:ind w:firstLine="414"/>
        <w:rPr>
          <w:color w:val="auto"/>
        </w:rPr>
      </w:pPr>
      <w:r w:rsidRPr="00D63FE8">
        <w:rPr>
          <w:color w:val="auto"/>
        </w:rPr>
        <w:t>Absolute Maximum Net Retained Line, column G</w:t>
      </w:r>
    </w:p>
    <w:p w:rsidR="00270843" w:rsidRPr="00D63FE8" w:rsidRDefault="00270843" w:rsidP="00270843">
      <w:pPr>
        <w:pStyle w:val="Heading3"/>
        <w:numPr>
          <w:ilvl w:val="3"/>
          <w:numId w:val="6"/>
        </w:numPr>
        <w:tabs>
          <w:tab w:val="clear" w:pos="720"/>
          <w:tab w:val="clear" w:pos="851"/>
        </w:tabs>
        <w:ind w:firstLine="414"/>
        <w:rPr>
          <w:color w:val="auto"/>
        </w:rPr>
      </w:pPr>
      <w:r w:rsidRPr="00D63FE8">
        <w:rPr>
          <w:color w:val="auto"/>
        </w:rPr>
        <w:t>Normal Maximum Gross Line, column I</w:t>
      </w:r>
    </w:p>
    <w:p w:rsidR="00270843" w:rsidRPr="00D63FE8" w:rsidRDefault="00270843" w:rsidP="00270843">
      <w:pPr>
        <w:pStyle w:val="Heading3"/>
        <w:numPr>
          <w:ilvl w:val="3"/>
          <w:numId w:val="6"/>
        </w:numPr>
        <w:tabs>
          <w:tab w:val="clear" w:pos="720"/>
          <w:tab w:val="clear" w:pos="851"/>
        </w:tabs>
        <w:ind w:firstLine="414"/>
        <w:rPr>
          <w:color w:val="auto"/>
        </w:rPr>
      </w:pPr>
      <w:r w:rsidRPr="00D63FE8">
        <w:rPr>
          <w:color w:val="auto"/>
        </w:rPr>
        <w:t>Normal Maximum Net Retained line, column K</w:t>
      </w:r>
    </w:p>
    <w:p w:rsidR="005C47C5" w:rsidRPr="00D63FE8" w:rsidRDefault="005C47C5" w:rsidP="00E047C6">
      <w:pPr>
        <w:pStyle w:val="Heading3"/>
        <w:tabs>
          <w:tab w:val="num" w:pos="709"/>
        </w:tabs>
        <w:ind w:left="709"/>
      </w:pPr>
      <w:r w:rsidRPr="00D63FE8">
        <w:t xml:space="preserve">       Gross line sizes are to be reported gross of the QS reinsurance cessions to SPAs.  </w:t>
      </w:r>
    </w:p>
    <w:p w:rsidR="00820BE9" w:rsidRPr="00D63FE8" w:rsidRDefault="00270843" w:rsidP="00EF50F0">
      <w:pPr>
        <w:pStyle w:val="Heading3"/>
        <w:tabs>
          <w:tab w:val="clear" w:pos="851"/>
          <w:tab w:val="left" w:pos="1134"/>
        </w:tabs>
        <w:ind w:left="1134" w:hanging="1134"/>
        <w:rPr>
          <w:color w:val="auto"/>
        </w:rPr>
      </w:pPr>
      <w:r w:rsidRPr="00D63FE8">
        <w:rPr>
          <w:color w:val="auto"/>
        </w:rPr>
        <w:t xml:space="preserve">“Retention as % of Absolute Max Gross Line” (column H) and “Retention as % of Normal Max Gross line” (column L) do not need to be updated as they will be automatically generated based on the information in columns F, G, I and K.  </w:t>
      </w:r>
    </w:p>
    <w:p w:rsidR="00941277" w:rsidRPr="00D63FE8" w:rsidRDefault="004D4456" w:rsidP="004D4456">
      <w:pPr>
        <w:pStyle w:val="Heading3"/>
        <w:tabs>
          <w:tab w:val="clear" w:pos="851"/>
          <w:tab w:val="num" w:pos="1134"/>
        </w:tabs>
        <w:ind w:left="1134" w:hanging="1134"/>
        <w:rPr>
          <w:color w:val="auto"/>
        </w:rPr>
      </w:pPr>
      <w:r w:rsidRPr="00D63FE8">
        <w:rPr>
          <w:color w:val="auto"/>
        </w:rPr>
        <w:t xml:space="preserve">In </w:t>
      </w:r>
      <w:r w:rsidR="005C47C5" w:rsidRPr="00D63FE8">
        <w:rPr>
          <w:color w:val="auto"/>
        </w:rPr>
        <w:t xml:space="preserve">calculating the net retained line information all outwards reinsurance </w:t>
      </w:r>
      <w:r w:rsidR="001714FB" w:rsidRPr="00D63FE8">
        <w:rPr>
          <w:color w:val="auto"/>
        </w:rPr>
        <w:t xml:space="preserve">                 </w:t>
      </w:r>
      <w:r w:rsidR="005C47C5" w:rsidRPr="00D63FE8">
        <w:rPr>
          <w:color w:val="auto"/>
        </w:rPr>
        <w:t xml:space="preserve">arrangements that protect the gross lines for each planned Class of Business should be taken into account including QS reinsurance with SPAs.     </w:t>
      </w:r>
    </w:p>
    <w:p w:rsidR="00270843" w:rsidRPr="00D63FE8" w:rsidRDefault="00270843" w:rsidP="00270843">
      <w:pPr>
        <w:pStyle w:val="Heading3"/>
        <w:tabs>
          <w:tab w:val="clear" w:pos="851"/>
          <w:tab w:val="left" w:pos="1134"/>
        </w:tabs>
        <w:ind w:left="1134" w:hanging="1134"/>
        <w:rPr>
          <w:color w:val="auto"/>
        </w:rPr>
      </w:pPr>
      <w:r w:rsidRPr="00D63FE8">
        <w:rPr>
          <w:color w:val="auto"/>
        </w:rPr>
        <w:t>If unlimited line size (E) is reported as “yes” you do not need to enter any data for that class of business in the gross line size columns (F or I) but the “Absolute Maximum Net Retained Line” (G) and “Normal Maximum Retained Line” (K) should be completed</w:t>
      </w:r>
      <w:r w:rsidR="002924CD" w:rsidRPr="00D63FE8">
        <w:rPr>
          <w:color w:val="auto"/>
        </w:rPr>
        <w:t>.</w:t>
      </w:r>
    </w:p>
    <w:p w:rsidR="00270843" w:rsidRPr="00D63FE8" w:rsidRDefault="00270843" w:rsidP="00270843">
      <w:pPr>
        <w:pStyle w:val="Heading3"/>
        <w:tabs>
          <w:tab w:val="clear" w:pos="851"/>
          <w:tab w:val="left" w:pos="1134"/>
        </w:tabs>
        <w:ind w:left="1134" w:hanging="1134"/>
        <w:rPr>
          <w:color w:val="auto"/>
        </w:rPr>
      </w:pPr>
      <w:r w:rsidRPr="00D63FE8">
        <w:rPr>
          <w:color w:val="auto"/>
        </w:rPr>
        <w:t>If there is a difference between absolute max and normal max gross line, then please provide explanatory text in form 990 under the additional section comments.</w:t>
      </w:r>
    </w:p>
    <w:p w:rsidR="00270843" w:rsidRPr="00D63FE8" w:rsidRDefault="00270843" w:rsidP="00270843">
      <w:pPr>
        <w:pStyle w:val="Heading3"/>
        <w:tabs>
          <w:tab w:val="clear" w:pos="851"/>
          <w:tab w:val="left" w:pos="1134"/>
        </w:tabs>
        <w:ind w:left="1134" w:hanging="1134"/>
        <w:rPr>
          <w:color w:val="auto"/>
        </w:rPr>
      </w:pPr>
      <w:r w:rsidRPr="00D63FE8">
        <w:rPr>
          <w:color w:val="auto"/>
        </w:rPr>
        <w:t>If there is more than one class of business underwriter, then the most senior should be entered in “Class Underwriter” (column M).</w:t>
      </w:r>
    </w:p>
    <w:p w:rsidR="00270843" w:rsidRPr="00D63FE8" w:rsidRDefault="00270843" w:rsidP="00270843">
      <w:pPr>
        <w:pStyle w:val="Heading3"/>
        <w:tabs>
          <w:tab w:val="clear" w:pos="851"/>
          <w:tab w:val="left" w:pos="1134"/>
        </w:tabs>
        <w:ind w:left="1134" w:hanging="1134"/>
        <w:rPr>
          <w:color w:val="auto"/>
        </w:rPr>
      </w:pPr>
      <w:r w:rsidRPr="00D63FE8">
        <w:rPr>
          <w:color w:val="auto"/>
        </w:rPr>
        <w:t>For line sizes (F and I) where the line limits differ by currency, please provide details of the largest line only. Please note largest line size is defined by Absolute Maximum Gross Line (Column F).</w:t>
      </w:r>
    </w:p>
    <w:p w:rsidR="00270843" w:rsidRPr="00D63FE8" w:rsidRDefault="00270843" w:rsidP="004D4456">
      <w:pPr>
        <w:pStyle w:val="Heading3"/>
        <w:tabs>
          <w:tab w:val="clear" w:pos="851"/>
          <w:tab w:val="num" w:pos="1134"/>
        </w:tabs>
        <w:ind w:left="1134" w:hanging="1134"/>
        <w:rPr>
          <w:color w:val="auto"/>
        </w:rPr>
      </w:pPr>
      <w:r w:rsidRPr="00D63FE8">
        <w:rPr>
          <w:color w:val="auto"/>
        </w:rPr>
        <w:t>Any class, where the absolute or normal maximum gross line sizes are outside Franchise Guidelines</w:t>
      </w:r>
      <w:r w:rsidR="0096731B" w:rsidRPr="00D63FE8">
        <w:rPr>
          <w:color w:val="auto"/>
        </w:rPr>
        <w:t xml:space="preserve"> and therefore require Lloyd’s approval</w:t>
      </w:r>
      <w:r w:rsidRPr="00D63FE8">
        <w:rPr>
          <w:color w:val="auto"/>
        </w:rPr>
        <w:t>, the syndicate is required to provide an up to date risk profile showing the number of risks, sums insured and premiums for that class of business and a summary of the structure and counterparty concentrations in the corresponding reinsurance arrangements. For new classes of business please provide an estimated risk profile. Form SBF990 should be used to attach the information.</w:t>
      </w:r>
    </w:p>
    <w:p w:rsidR="00270843" w:rsidRPr="00D63FE8" w:rsidRDefault="0096731B" w:rsidP="004D4456">
      <w:pPr>
        <w:pStyle w:val="Heading3"/>
        <w:tabs>
          <w:tab w:val="clear" w:pos="851"/>
          <w:tab w:val="num" w:pos="1134"/>
        </w:tabs>
        <w:ind w:left="1134" w:hanging="1134"/>
        <w:rPr>
          <w:color w:val="auto"/>
        </w:rPr>
      </w:pPr>
      <w:r w:rsidRPr="00D63FE8">
        <w:rPr>
          <w:color w:val="auto"/>
        </w:rPr>
        <w:t>Any class, where the Net Retained Line is lower than the Franchise Guidelines (i.e. less than 10% of the Gross Line) and therefore</w:t>
      </w:r>
      <w:r w:rsidR="00305529" w:rsidRPr="00D63FE8">
        <w:rPr>
          <w:color w:val="auto"/>
        </w:rPr>
        <w:t xml:space="preserve"> </w:t>
      </w:r>
      <w:r w:rsidRPr="00D63FE8">
        <w:rPr>
          <w:color w:val="auto"/>
        </w:rPr>
        <w:t>require</w:t>
      </w:r>
      <w:r w:rsidR="00613739" w:rsidRPr="00D63FE8">
        <w:rPr>
          <w:color w:val="auto"/>
        </w:rPr>
        <w:t>s</w:t>
      </w:r>
      <w:r w:rsidRPr="00D63FE8">
        <w:rPr>
          <w:color w:val="auto"/>
        </w:rPr>
        <w:t xml:space="preserve"> Lloyd’s approval, the syndicate is required to provide details of the business objective / rationale to support the dispensation request.    </w:t>
      </w:r>
    </w:p>
    <w:p w:rsidR="00735FF0" w:rsidRPr="00D63FE8" w:rsidRDefault="00735FF0" w:rsidP="00A96666">
      <w:bookmarkStart w:id="125" w:name="CW_definition_new_fields"/>
      <w:bookmarkStart w:id="126" w:name="_Toc95271078"/>
      <w:bookmarkStart w:id="127" w:name="_Toc264275414"/>
      <w:bookmarkStart w:id="128" w:name="DC_SBF_452_rewrite"/>
      <w:bookmarkStart w:id="129" w:name="_Toc89825917"/>
      <w:bookmarkStart w:id="130" w:name="_Toc89826872"/>
      <w:bookmarkEnd w:id="125"/>
    </w:p>
    <w:p w:rsidR="00735FF0" w:rsidRPr="00D63FE8" w:rsidRDefault="00735FF0" w:rsidP="00A96666"/>
    <w:p w:rsidR="00DB0E84" w:rsidRPr="00D63FE8" w:rsidRDefault="00DB0E84" w:rsidP="00DB0E84">
      <w:pPr>
        <w:pStyle w:val="Heading1"/>
        <w:tabs>
          <w:tab w:val="clear" w:pos="783"/>
          <w:tab w:val="num" w:pos="1134"/>
        </w:tabs>
        <w:ind w:left="1134" w:hanging="1134"/>
        <w:rPr>
          <w:color w:val="auto"/>
        </w:rPr>
      </w:pPr>
      <w:bookmarkStart w:id="131" w:name="_Toc452126183"/>
      <w:r w:rsidRPr="00D63FE8">
        <w:rPr>
          <w:color w:val="auto"/>
        </w:rPr>
        <w:t>SBF452 CATASTROPHE RISK</w:t>
      </w:r>
      <w:bookmarkEnd w:id="131"/>
      <w:r w:rsidRPr="00D63FE8">
        <w:rPr>
          <w:color w:val="auto"/>
        </w:rPr>
        <w:t xml:space="preserve"> </w:t>
      </w:r>
    </w:p>
    <w:p w:rsidR="00B57AE4" w:rsidRPr="00D63FE8" w:rsidRDefault="00B57AE4" w:rsidP="00B57AE4"/>
    <w:p w:rsidR="00DB0E84" w:rsidRPr="00D63FE8" w:rsidRDefault="00061345" w:rsidP="0074393D">
      <w:pPr>
        <w:pStyle w:val="Heading2"/>
        <w:tabs>
          <w:tab w:val="num" w:pos="851"/>
        </w:tabs>
        <w:ind w:left="1134" w:hanging="1134"/>
        <w:rPr>
          <w:sz w:val="24"/>
          <w:szCs w:val="24"/>
        </w:rPr>
      </w:pPr>
      <w:r w:rsidRPr="00D63FE8">
        <w:rPr>
          <w:sz w:val="24"/>
          <w:szCs w:val="24"/>
        </w:rPr>
        <w:t xml:space="preserve">   </w:t>
      </w:r>
      <w:r w:rsidR="00DB0E84" w:rsidRPr="00D63FE8">
        <w:rPr>
          <w:sz w:val="24"/>
          <w:szCs w:val="24"/>
        </w:rPr>
        <w:t>Summary</w:t>
      </w:r>
    </w:p>
    <w:p w:rsidR="00DB0E84" w:rsidRPr="00D63FE8" w:rsidRDefault="00DB0E84" w:rsidP="004D4456">
      <w:pPr>
        <w:pStyle w:val="Heading3"/>
        <w:tabs>
          <w:tab w:val="clear" w:pos="851"/>
          <w:tab w:val="num" w:pos="1134"/>
        </w:tabs>
        <w:ind w:left="1134" w:hanging="1134"/>
        <w:rPr>
          <w:color w:val="auto"/>
        </w:rPr>
      </w:pPr>
      <w:r w:rsidRPr="00D63FE8">
        <w:rPr>
          <w:color w:val="auto"/>
        </w:rPr>
        <w:t>This section enables Lloyd's to understand and control the level of plan</w:t>
      </w:r>
      <w:r w:rsidR="00697332" w:rsidRPr="00D63FE8">
        <w:rPr>
          <w:color w:val="auto"/>
        </w:rPr>
        <w:t xml:space="preserve">ned catastrophe risk during </w:t>
      </w:r>
      <w:r w:rsidR="002779CA" w:rsidRPr="00235165">
        <w:rPr>
          <w:color w:val="auto"/>
        </w:rPr>
        <w:t>20</w:t>
      </w:r>
      <w:r w:rsidR="00773D82" w:rsidRPr="00D63FE8">
        <w:rPr>
          <w:color w:val="auto"/>
        </w:rPr>
        <w:t>20</w:t>
      </w:r>
      <w:r w:rsidRPr="00D63FE8">
        <w:rPr>
          <w:color w:val="auto"/>
        </w:rPr>
        <w:t xml:space="preserve">, as measured by forecast loss-estimates for a number of defined loss scenarios. Some of the scenarios are probabilistic (AEP), others are deterministic (RDS). </w:t>
      </w:r>
    </w:p>
    <w:p w:rsidR="00DB0E84" w:rsidRPr="00D63FE8" w:rsidRDefault="00061345" w:rsidP="0074393D">
      <w:pPr>
        <w:pStyle w:val="Heading2"/>
        <w:tabs>
          <w:tab w:val="num" w:pos="851"/>
        </w:tabs>
        <w:ind w:left="1134" w:hanging="1134"/>
        <w:rPr>
          <w:sz w:val="24"/>
          <w:szCs w:val="24"/>
        </w:rPr>
      </w:pPr>
      <w:r w:rsidRPr="00D63FE8">
        <w:rPr>
          <w:sz w:val="24"/>
          <w:szCs w:val="24"/>
        </w:rPr>
        <w:t xml:space="preserve">    </w:t>
      </w:r>
      <w:r w:rsidR="00DB0E84" w:rsidRPr="00D63FE8">
        <w:rPr>
          <w:sz w:val="24"/>
          <w:szCs w:val="24"/>
        </w:rPr>
        <w:t>Key Points</w:t>
      </w:r>
    </w:p>
    <w:p w:rsidR="00DB0E84" w:rsidRPr="00D63FE8" w:rsidRDefault="004D4456" w:rsidP="004D4456">
      <w:pPr>
        <w:pStyle w:val="Heading3"/>
        <w:tabs>
          <w:tab w:val="num" w:pos="1134"/>
        </w:tabs>
        <w:ind w:left="1134" w:hanging="1146"/>
      </w:pPr>
      <w:r w:rsidRPr="00D63FE8">
        <w:t xml:space="preserve">    </w:t>
      </w:r>
      <w:r w:rsidR="00DB0E84" w:rsidRPr="00D63FE8">
        <w:t>The defined scenarios apply to catastrophe risk arising from all reporting years of account, and for all relevant lines of business which may have accumulation risk during the plan year.</w:t>
      </w:r>
    </w:p>
    <w:p w:rsidR="00DB0E84" w:rsidRPr="00D63FE8" w:rsidRDefault="008741F4" w:rsidP="004D4456">
      <w:pPr>
        <w:pStyle w:val="Heading3"/>
        <w:tabs>
          <w:tab w:val="num" w:pos="1134"/>
        </w:tabs>
        <w:ind w:left="1134" w:hanging="1134"/>
      </w:pPr>
      <w:r w:rsidRPr="00D63FE8">
        <w:t xml:space="preserve">     </w:t>
      </w:r>
      <w:r w:rsidR="00DB0E84" w:rsidRPr="00D63FE8">
        <w:t>All entries in this section must be in GBP, USD, CAD or EUR. All non-GBP currencies other than USD, CAD and EUR should be converted into GBP. All currencies will be automatically converted to CNV</w:t>
      </w:r>
      <w:r w:rsidR="00717E40" w:rsidRPr="00D63FE8">
        <w:t xml:space="preserve"> at Plan rate of exchange. Please enter forecasts in the main currency of exposure where possible. For example, the AEP 1-in-30 for US windstorm should generally be in USD rather than GBP.</w:t>
      </w:r>
    </w:p>
    <w:p w:rsidR="00DB0E84" w:rsidRPr="00D63FE8" w:rsidRDefault="004D4456" w:rsidP="004D4456">
      <w:pPr>
        <w:pStyle w:val="Heading3"/>
        <w:tabs>
          <w:tab w:val="num" w:pos="1134"/>
        </w:tabs>
        <w:ind w:left="1134" w:hanging="1134"/>
      </w:pPr>
      <w:r w:rsidRPr="00D63FE8">
        <w:t xml:space="preserve">    </w:t>
      </w:r>
      <w:r w:rsidR="00DB0E84" w:rsidRPr="00D63FE8">
        <w:t>There are two types of catastrophe risk measure</w:t>
      </w:r>
      <w:r w:rsidR="00234404" w:rsidRPr="00D63FE8">
        <w:t>s</w:t>
      </w:r>
      <w:r w:rsidR="00DB0E84" w:rsidRPr="00D63FE8">
        <w:t xml:space="preserve"> collected under this form: probabilistic loss estimates at an Aggregate Exceedance Probability of 1-in-x [AEP 1-in-x], and deterministic loss estimates for Realistic Disaster Scenarios [RDS].</w:t>
      </w:r>
    </w:p>
    <w:p w:rsidR="00DB0E84" w:rsidRPr="00D63FE8" w:rsidRDefault="00DB0E84" w:rsidP="009A3C84">
      <w:pPr>
        <w:pStyle w:val="Heading3"/>
        <w:numPr>
          <w:ilvl w:val="0"/>
          <w:numId w:val="29"/>
        </w:numPr>
        <w:tabs>
          <w:tab w:val="clear" w:pos="851"/>
        </w:tabs>
        <w:ind w:left="1418" w:hanging="284"/>
      </w:pPr>
      <w:r w:rsidRPr="00D63FE8">
        <w:t xml:space="preserve">For the AEP 1-in-x, forecast losses should be consistent with your Internal Model. They should use the same assumptions, data and methodologies as your Lloyd’s Capital Return [LCR] and Lloyd’s Catastrophe Model [LCM] </w:t>
      </w:r>
      <w:r w:rsidR="00C62489" w:rsidRPr="00D63FE8">
        <w:t>F</w:t>
      </w:r>
      <w:r w:rsidRPr="00D63FE8">
        <w:t>orecast return.</w:t>
      </w:r>
    </w:p>
    <w:p w:rsidR="00DB0E84" w:rsidRPr="00D63FE8" w:rsidRDefault="00DB0E84" w:rsidP="009A3C84">
      <w:pPr>
        <w:pStyle w:val="Heading3"/>
        <w:numPr>
          <w:ilvl w:val="0"/>
          <w:numId w:val="29"/>
        </w:numPr>
        <w:tabs>
          <w:tab w:val="clear" w:pos="851"/>
        </w:tabs>
        <w:ind w:left="1418" w:hanging="284"/>
      </w:pPr>
      <w:r w:rsidRPr="00D63FE8">
        <w:t xml:space="preserve">For the RDS, forecasts losses should reflect the </w:t>
      </w:r>
      <w:r w:rsidRPr="00D63FE8">
        <w:rPr>
          <w:b/>
          <w:i/>
        </w:rPr>
        <w:t>maximum</w:t>
      </w:r>
      <w:r w:rsidRPr="00D63FE8">
        <w:rPr>
          <w:i/>
        </w:rPr>
        <w:t xml:space="preserve"> </w:t>
      </w:r>
      <w:r w:rsidRPr="00D63FE8">
        <w:t>anticipated</w:t>
      </w:r>
      <w:r w:rsidRPr="00D63FE8">
        <w:rPr>
          <w:i/>
        </w:rPr>
        <w:t xml:space="preserve"> </w:t>
      </w:r>
      <w:r w:rsidRPr="00D63FE8">
        <w:t>loss estimates at any time during the prospective calendar year.</w:t>
      </w:r>
    </w:p>
    <w:p w:rsidR="00DB0E84" w:rsidRPr="00D63FE8" w:rsidRDefault="008741F4" w:rsidP="00235165">
      <w:pPr>
        <w:pStyle w:val="Heading3"/>
        <w:tabs>
          <w:tab w:val="clear" w:pos="1288"/>
        </w:tabs>
        <w:ind w:hanging="1288"/>
      </w:pPr>
      <w:r w:rsidRPr="00D63FE8">
        <w:t xml:space="preserve">     </w:t>
      </w:r>
      <w:r w:rsidR="00DB0E84" w:rsidRPr="00D63FE8">
        <w:t>Losses should be reported for gross, net and final net.</w:t>
      </w:r>
    </w:p>
    <w:p w:rsidR="00DB0E84" w:rsidRPr="00D63FE8" w:rsidRDefault="00DB0E84" w:rsidP="009A3C84">
      <w:pPr>
        <w:pStyle w:val="Heading3"/>
        <w:numPr>
          <w:ilvl w:val="0"/>
          <w:numId w:val="18"/>
        </w:numPr>
        <w:tabs>
          <w:tab w:val="clear" w:pos="851"/>
          <w:tab w:val="left" w:pos="1170"/>
        </w:tabs>
        <w:ind w:hanging="306"/>
        <w:jc w:val="left"/>
        <w:rPr>
          <w:color w:val="auto"/>
        </w:rPr>
      </w:pPr>
      <w:r w:rsidRPr="00D63FE8">
        <w:rPr>
          <w:bCs/>
          <w:color w:val="auto"/>
        </w:rPr>
        <w:t>Gross loss</w:t>
      </w:r>
      <w:r w:rsidRPr="00D63FE8">
        <w:rPr>
          <w:color w:val="auto"/>
        </w:rPr>
        <w:t xml:space="preserve"> is the estimated loss arising from damage to the Insured Values, after the application of syndicate participations and policy or treaty limitations on cover, such as coinsurance, deductibles and limits.</w:t>
      </w:r>
      <w:r w:rsidR="001714FB" w:rsidRPr="00D63FE8">
        <w:rPr>
          <w:color w:val="auto"/>
        </w:rPr>
        <w:t xml:space="preserve"> Gross losses are to be reported gross of the QS reinsurance cessions to S</w:t>
      </w:r>
      <w:r w:rsidR="008A0F10" w:rsidRPr="00D63FE8">
        <w:rPr>
          <w:color w:val="auto"/>
        </w:rPr>
        <w:t xml:space="preserve">pecial </w:t>
      </w:r>
      <w:r w:rsidR="001714FB" w:rsidRPr="00D63FE8">
        <w:rPr>
          <w:color w:val="auto"/>
        </w:rPr>
        <w:t>P</w:t>
      </w:r>
      <w:r w:rsidR="008A0F10" w:rsidRPr="00D63FE8">
        <w:rPr>
          <w:color w:val="auto"/>
        </w:rPr>
        <w:t xml:space="preserve">urpose </w:t>
      </w:r>
      <w:r w:rsidR="001714FB" w:rsidRPr="00D63FE8">
        <w:rPr>
          <w:color w:val="auto"/>
        </w:rPr>
        <w:t>A</w:t>
      </w:r>
      <w:r w:rsidR="008A0F10" w:rsidRPr="00D63FE8">
        <w:rPr>
          <w:color w:val="auto"/>
        </w:rPr>
        <w:t>rrangement</w:t>
      </w:r>
      <w:r w:rsidR="001714FB" w:rsidRPr="00D63FE8">
        <w:rPr>
          <w:color w:val="auto"/>
        </w:rPr>
        <w:t>s.</w:t>
      </w:r>
    </w:p>
    <w:p w:rsidR="00DB0E84" w:rsidRPr="00D63FE8" w:rsidRDefault="00DB0E84" w:rsidP="009A3C84">
      <w:pPr>
        <w:pStyle w:val="Heading3"/>
        <w:numPr>
          <w:ilvl w:val="0"/>
          <w:numId w:val="18"/>
        </w:numPr>
        <w:tabs>
          <w:tab w:val="clear" w:pos="851"/>
          <w:tab w:val="left" w:pos="1170"/>
        </w:tabs>
        <w:ind w:hanging="306"/>
        <w:jc w:val="left"/>
        <w:rPr>
          <w:color w:val="auto"/>
        </w:rPr>
      </w:pPr>
      <w:r w:rsidRPr="00D63FE8">
        <w:rPr>
          <w:bCs/>
          <w:color w:val="auto"/>
        </w:rPr>
        <w:t>Net Loss</w:t>
      </w:r>
      <w:r w:rsidRPr="00D63FE8">
        <w:rPr>
          <w:color w:val="auto"/>
        </w:rPr>
        <w:t xml:space="preserve"> is the estimated loss after reinsurance recoveries, but before reinstatement premiums have been paid and/or received.</w:t>
      </w:r>
    </w:p>
    <w:p w:rsidR="00DB0E84" w:rsidRPr="005710B2" w:rsidRDefault="00DB0E84" w:rsidP="009A3C84">
      <w:pPr>
        <w:pStyle w:val="Heading3"/>
        <w:numPr>
          <w:ilvl w:val="0"/>
          <w:numId w:val="18"/>
        </w:numPr>
        <w:tabs>
          <w:tab w:val="clear" w:pos="851"/>
          <w:tab w:val="left" w:pos="1170"/>
        </w:tabs>
        <w:ind w:hanging="306"/>
        <w:jc w:val="left"/>
        <w:rPr>
          <w:color w:val="auto"/>
        </w:rPr>
      </w:pPr>
      <w:r w:rsidRPr="00D63FE8">
        <w:rPr>
          <w:color w:val="auto"/>
        </w:rPr>
        <w:t xml:space="preserve">Final net </w:t>
      </w:r>
      <w:r w:rsidRPr="00D63FE8">
        <w:rPr>
          <w:bCs/>
          <w:color w:val="auto"/>
        </w:rPr>
        <w:t>loss</w:t>
      </w:r>
      <w:r w:rsidRPr="00D63FE8">
        <w:rPr>
          <w:color w:val="auto"/>
        </w:rPr>
        <w:t xml:space="preserve"> is the estimated loss after reinsurance recoveries have been received and reinstatement premiums have been paid </w:t>
      </w:r>
      <w:r w:rsidRPr="005710B2">
        <w:rPr>
          <w:color w:val="auto"/>
        </w:rPr>
        <w:t>and/or received.</w:t>
      </w:r>
    </w:p>
    <w:p w:rsidR="001714FB" w:rsidRPr="00D63FE8" w:rsidRDefault="001714FB" w:rsidP="004D4456">
      <w:pPr>
        <w:pStyle w:val="Heading3"/>
        <w:tabs>
          <w:tab w:val="clear" w:pos="851"/>
          <w:tab w:val="num" w:pos="1134"/>
        </w:tabs>
        <w:ind w:left="1134" w:hanging="1134"/>
      </w:pPr>
      <w:r w:rsidRPr="005710B2">
        <w:t>In calculating the net losses and final net losses</w:t>
      </w:r>
      <w:r w:rsidR="008A0F10" w:rsidRPr="005710B2">
        <w:t>, all</w:t>
      </w:r>
      <w:r w:rsidRPr="00D63FE8">
        <w:t xml:space="preserve"> reinsurance recoveries from outwards reinsurance arrangements that protect the gross losses should be </w:t>
      </w:r>
      <w:r w:rsidR="00773D82" w:rsidRPr="00D63FE8">
        <w:t>considered</w:t>
      </w:r>
      <w:r w:rsidRPr="00D63FE8">
        <w:t xml:space="preserve"> including QS reinsurance with S</w:t>
      </w:r>
      <w:r w:rsidR="008A0F10" w:rsidRPr="00D63FE8">
        <w:t xml:space="preserve">pecial </w:t>
      </w:r>
      <w:r w:rsidRPr="00D63FE8">
        <w:t>P</w:t>
      </w:r>
      <w:r w:rsidR="008A0F10" w:rsidRPr="00D63FE8">
        <w:t xml:space="preserve">urpose </w:t>
      </w:r>
      <w:r w:rsidRPr="00D63FE8">
        <w:t>A</w:t>
      </w:r>
      <w:r w:rsidR="008A0F10" w:rsidRPr="00D63FE8">
        <w:t>rrangement</w:t>
      </w:r>
      <w:r w:rsidRPr="00D63FE8">
        <w:t xml:space="preserve">s.  </w:t>
      </w:r>
    </w:p>
    <w:p w:rsidR="00B57AE4" w:rsidRPr="00D63FE8" w:rsidRDefault="00B57AE4" w:rsidP="00B57AE4">
      <w:pPr>
        <w:pStyle w:val="Heading3"/>
        <w:numPr>
          <w:ilvl w:val="0"/>
          <w:numId w:val="0"/>
        </w:numPr>
        <w:ind w:left="1146"/>
      </w:pPr>
    </w:p>
    <w:p w:rsidR="009C2EBE" w:rsidRPr="00E47BF1" w:rsidRDefault="009C2EBE" w:rsidP="00E62E9C">
      <w:pPr>
        <w:pStyle w:val="Heading1"/>
        <w:tabs>
          <w:tab w:val="clear" w:pos="783"/>
          <w:tab w:val="num" w:pos="1134"/>
        </w:tabs>
        <w:ind w:left="1134" w:hanging="1134"/>
        <w:rPr>
          <w:color w:val="auto"/>
        </w:rPr>
      </w:pPr>
      <w:bookmarkStart w:id="132" w:name="_Toc452126184"/>
      <w:bookmarkStart w:id="133" w:name="CW_SBF_730_review"/>
      <w:bookmarkStart w:id="134" w:name="_Toc95271079"/>
      <w:bookmarkStart w:id="135" w:name="_Toc264275415"/>
      <w:bookmarkEnd w:id="126"/>
      <w:bookmarkEnd w:id="127"/>
      <w:bookmarkEnd w:id="128"/>
      <w:bookmarkEnd w:id="129"/>
      <w:bookmarkEnd w:id="130"/>
      <w:r w:rsidRPr="00E47BF1">
        <w:t>SBF730 OUTWARDS REINSURANCE PREMIUMS (including Fac.)</w:t>
      </w:r>
      <w:bookmarkEnd w:id="132"/>
      <w:r w:rsidR="00AD002D" w:rsidRPr="00E47BF1">
        <w:t xml:space="preserve"> </w:t>
      </w:r>
    </w:p>
    <w:p w:rsidR="00062B53" w:rsidRPr="00E47BF1" w:rsidRDefault="00061345" w:rsidP="0074393D">
      <w:pPr>
        <w:pStyle w:val="Heading2"/>
        <w:tabs>
          <w:tab w:val="num" w:pos="851"/>
        </w:tabs>
        <w:ind w:left="1134" w:hanging="1134"/>
        <w:rPr>
          <w:sz w:val="24"/>
          <w:szCs w:val="24"/>
        </w:rPr>
      </w:pPr>
      <w:r w:rsidRPr="00E47BF1">
        <w:rPr>
          <w:sz w:val="24"/>
          <w:szCs w:val="24"/>
        </w:rPr>
        <w:t xml:space="preserve">   </w:t>
      </w:r>
      <w:r w:rsidR="00062B53" w:rsidRPr="00E47BF1">
        <w:rPr>
          <w:sz w:val="24"/>
          <w:szCs w:val="24"/>
        </w:rPr>
        <w:t>Summary</w:t>
      </w:r>
    </w:p>
    <w:p w:rsidR="00062B53" w:rsidRPr="00E47BF1" w:rsidRDefault="008741F4" w:rsidP="004D4456">
      <w:pPr>
        <w:pStyle w:val="Heading3"/>
        <w:tabs>
          <w:tab w:val="num" w:pos="851"/>
          <w:tab w:val="num" w:pos="1134"/>
        </w:tabs>
        <w:ind w:left="1134" w:hanging="1134"/>
        <w:rPr>
          <w:b/>
          <w:szCs w:val="20"/>
        </w:rPr>
      </w:pPr>
      <w:r w:rsidRPr="00E47BF1">
        <w:t xml:space="preserve">     </w:t>
      </w:r>
      <w:r w:rsidR="00062B53" w:rsidRPr="00E47BF1">
        <w:t xml:space="preserve">The purpose of this section is to provide a breakdown of the type of reinsurance protections the syndicate plans to purchase, along with the expected financial quality of the reinsurance counterparties. </w:t>
      </w:r>
    </w:p>
    <w:p w:rsidR="00062B53" w:rsidRPr="00E47BF1" w:rsidRDefault="008741F4" w:rsidP="004D4456">
      <w:pPr>
        <w:pStyle w:val="Heading3"/>
        <w:tabs>
          <w:tab w:val="num" w:pos="851"/>
          <w:tab w:val="num" w:pos="1134"/>
        </w:tabs>
        <w:ind w:left="1134" w:hanging="1134"/>
      </w:pPr>
      <w:r w:rsidRPr="00E47BF1">
        <w:t xml:space="preserve">     </w:t>
      </w:r>
      <w:r w:rsidR="00062B53" w:rsidRPr="00E47BF1">
        <w:t>Estimates of the % of Outwards Reinsurance premium to be ceded under the following</w:t>
      </w:r>
      <w:r w:rsidR="00626A2C" w:rsidRPr="00E47BF1">
        <w:t xml:space="preserve"> </w:t>
      </w:r>
      <w:r w:rsidR="00613739" w:rsidRPr="00E47BF1">
        <w:t>reinsurance arrangements are</w:t>
      </w:r>
      <w:r w:rsidR="00062B53" w:rsidRPr="00E47BF1">
        <w:t xml:space="preserve"> also required – see </w:t>
      </w:r>
      <w:r w:rsidR="00120197">
        <w:t>18</w:t>
      </w:r>
      <w:r w:rsidR="00062B53" w:rsidRPr="00E47BF1">
        <w:t>.</w:t>
      </w:r>
      <w:r w:rsidR="002924CD" w:rsidRPr="00E47BF1">
        <w:t>5</w:t>
      </w:r>
      <w:r w:rsidR="00062B53" w:rsidRPr="00E47BF1">
        <w:t xml:space="preserve"> for full details:</w:t>
      </w:r>
    </w:p>
    <w:p w:rsidR="00062B53" w:rsidRPr="00E47BF1" w:rsidRDefault="00062B53" w:rsidP="009A3C84">
      <w:pPr>
        <w:widowControl w:val="0"/>
        <w:numPr>
          <w:ilvl w:val="5"/>
          <w:numId w:val="20"/>
        </w:numPr>
        <w:tabs>
          <w:tab w:val="clear" w:pos="1152"/>
          <w:tab w:val="num" w:pos="1418"/>
        </w:tabs>
        <w:ind w:left="1560" w:hanging="426"/>
        <w:jc w:val="both"/>
        <w:outlineLvl w:val="2"/>
        <w:rPr>
          <w:color w:val="000000"/>
          <w:szCs w:val="22"/>
        </w:rPr>
      </w:pPr>
      <w:r w:rsidRPr="00E47BF1">
        <w:rPr>
          <w:color w:val="000000"/>
          <w:szCs w:val="22"/>
        </w:rPr>
        <w:t>Shared Reinsurance Contracts</w:t>
      </w:r>
    </w:p>
    <w:p w:rsidR="00062B53" w:rsidRPr="00E47BF1" w:rsidRDefault="00062B53" w:rsidP="009A3C84">
      <w:pPr>
        <w:widowControl w:val="0"/>
        <w:numPr>
          <w:ilvl w:val="5"/>
          <w:numId w:val="20"/>
        </w:numPr>
        <w:tabs>
          <w:tab w:val="clear" w:pos="1152"/>
          <w:tab w:val="num" w:pos="1418"/>
        </w:tabs>
        <w:ind w:left="1560" w:hanging="426"/>
        <w:jc w:val="both"/>
        <w:outlineLvl w:val="2"/>
        <w:rPr>
          <w:color w:val="000000"/>
          <w:szCs w:val="22"/>
        </w:rPr>
      </w:pPr>
      <w:r w:rsidRPr="00E47BF1">
        <w:rPr>
          <w:color w:val="000000"/>
          <w:szCs w:val="22"/>
        </w:rPr>
        <w:t>Related Party Reinsurance Contracts</w:t>
      </w:r>
    </w:p>
    <w:p w:rsidR="00F52A42" w:rsidRPr="00E47BF1" w:rsidRDefault="00062B53" w:rsidP="0074393D">
      <w:pPr>
        <w:widowControl w:val="0"/>
        <w:numPr>
          <w:ilvl w:val="5"/>
          <w:numId w:val="20"/>
        </w:numPr>
        <w:tabs>
          <w:tab w:val="clear" w:pos="1152"/>
          <w:tab w:val="num" w:pos="1418"/>
        </w:tabs>
        <w:spacing w:after="220"/>
        <w:ind w:left="1560" w:hanging="426"/>
        <w:jc w:val="both"/>
        <w:outlineLvl w:val="2"/>
        <w:rPr>
          <w:color w:val="000000"/>
          <w:szCs w:val="22"/>
        </w:rPr>
      </w:pPr>
      <w:r w:rsidRPr="00E47BF1">
        <w:rPr>
          <w:color w:val="000000"/>
          <w:szCs w:val="22"/>
        </w:rPr>
        <w:t>Non-Standard Reinsurance Contracts</w:t>
      </w:r>
    </w:p>
    <w:p w:rsidR="00062B53" w:rsidRPr="00E47BF1" w:rsidRDefault="00061345" w:rsidP="0074393D">
      <w:pPr>
        <w:pStyle w:val="Heading2"/>
        <w:tabs>
          <w:tab w:val="num" w:pos="851"/>
        </w:tabs>
        <w:ind w:left="1134" w:hanging="1134"/>
        <w:rPr>
          <w:sz w:val="24"/>
          <w:szCs w:val="24"/>
        </w:rPr>
      </w:pPr>
      <w:r w:rsidRPr="00E47BF1">
        <w:rPr>
          <w:sz w:val="24"/>
          <w:szCs w:val="24"/>
        </w:rPr>
        <w:t xml:space="preserve">    </w:t>
      </w:r>
      <w:r w:rsidR="00062B53" w:rsidRPr="00E47BF1">
        <w:rPr>
          <w:sz w:val="24"/>
          <w:szCs w:val="24"/>
        </w:rPr>
        <w:t>Key Points</w:t>
      </w:r>
    </w:p>
    <w:p w:rsidR="00062B53" w:rsidRPr="00E47BF1" w:rsidRDefault="008741F4" w:rsidP="004D4456">
      <w:pPr>
        <w:pStyle w:val="Heading3"/>
        <w:tabs>
          <w:tab w:val="left" w:pos="0"/>
          <w:tab w:val="num" w:pos="851"/>
          <w:tab w:val="num" w:pos="1134"/>
        </w:tabs>
        <w:ind w:left="1134" w:hanging="1134"/>
      </w:pPr>
      <w:r w:rsidRPr="00E47BF1">
        <w:t xml:space="preserve">     </w:t>
      </w:r>
      <w:r w:rsidR="00062B53" w:rsidRPr="00E47BF1">
        <w:t xml:space="preserve">This form is based upon the total gross outwards reinsurance premium reported within the 105 forms, as summarised within form 105s (columns D and E).   </w:t>
      </w:r>
    </w:p>
    <w:p w:rsidR="00062B53" w:rsidRPr="00E47BF1" w:rsidRDefault="00062B53" w:rsidP="004D4456">
      <w:pPr>
        <w:pStyle w:val="Heading3"/>
        <w:tabs>
          <w:tab w:val="clear" w:pos="851"/>
          <w:tab w:val="left" w:pos="0"/>
          <w:tab w:val="num" w:pos="1134"/>
        </w:tabs>
        <w:ind w:left="1134" w:hanging="1134"/>
      </w:pPr>
      <w:r w:rsidRPr="00E47BF1">
        <w:t xml:space="preserve">A percentage breakdown of the planned reinsurance spend, by reinsurance type and security </w:t>
      </w:r>
      <w:r w:rsidR="00A719C4" w:rsidRPr="00E47BF1">
        <w:t>category</w:t>
      </w:r>
      <w:r w:rsidRPr="00E47BF1">
        <w:t xml:space="preserve"> should be reported in the top “Estimated %” part of this form. This will then be automatically combined with the total gross outwards reinsurance premium from the 105 forms to generate the lower “Outwards reinsurance premium (CNV)” section. </w:t>
      </w:r>
    </w:p>
    <w:p w:rsidR="00062B53" w:rsidRPr="00E47BF1" w:rsidRDefault="00061345" w:rsidP="00EF50F0">
      <w:pPr>
        <w:pStyle w:val="Heading2"/>
        <w:tabs>
          <w:tab w:val="num" w:pos="851"/>
        </w:tabs>
        <w:ind w:left="1134" w:hanging="1134"/>
        <w:rPr>
          <w:sz w:val="24"/>
          <w:szCs w:val="24"/>
        </w:rPr>
      </w:pPr>
      <w:r w:rsidRPr="00E47BF1">
        <w:rPr>
          <w:sz w:val="24"/>
          <w:szCs w:val="24"/>
        </w:rPr>
        <w:t xml:space="preserve">    </w:t>
      </w:r>
      <w:r w:rsidR="00062B53" w:rsidRPr="00E47BF1">
        <w:rPr>
          <w:sz w:val="24"/>
          <w:szCs w:val="24"/>
        </w:rPr>
        <w:t>Reinsurance Contract Type</w:t>
      </w:r>
    </w:p>
    <w:p w:rsidR="00062B53" w:rsidRPr="00E47BF1" w:rsidRDefault="00062B53" w:rsidP="004D4456">
      <w:pPr>
        <w:pStyle w:val="Heading3"/>
        <w:tabs>
          <w:tab w:val="clear" w:pos="851"/>
          <w:tab w:val="num" w:pos="1134"/>
        </w:tabs>
        <w:ind w:left="1134" w:hanging="1134"/>
      </w:pPr>
      <w:r w:rsidRPr="00E47BF1">
        <w:t>The following pre-defined categories for reinsurance type should cater for the vast majority of reinsurance arrangements:</w:t>
      </w:r>
    </w:p>
    <w:p w:rsidR="00062B53" w:rsidRPr="00E47BF1" w:rsidRDefault="00062B53" w:rsidP="00062B53">
      <w:pPr>
        <w:pStyle w:val="ListParagraph"/>
        <w:widowControl w:val="0"/>
        <w:numPr>
          <w:ilvl w:val="5"/>
          <w:numId w:val="6"/>
        </w:numPr>
        <w:ind w:left="1418" w:hanging="284"/>
        <w:contextualSpacing/>
        <w:jc w:val="both"/>
        <w:outlineLvl w:val="2"/>
        <w:rPr>
          <w:color w:val="000000"/>
          <w:szCs w:val="22"/>
        </w:rPr>
      </w:pPr>
      <w:r w:rsidRPr="00E47BF1">
        <w:rPr>
          <w:color w:val="000000"/>
          <w:szCs w:val="22"/>
        </w:rPr>
        <w:t>Facultative (column A)</w:t>
      </w:r>
      <w:r w:rsidR="00A719C4" w:rsidRPr="00E47BF1">
        <w:rPr>
          <w:color w:val="000000"/>
          <w:szCs w:val="22"/>
        </w:rPr>
        <w:t>;</w:t>
      </w:r>
      <w:r w:rsidRPr="00E47BF1">
        <w:rPr>
          <w:color w:val="000000"/>
          <w:szCs w:val="22"/>
        </w:rPr>
        <w:t xml:space="preserve"> all contracts regardless of whether proportional or non-proportional</w:t>
      </w:r>
    </w:p>
    <w:p w:rsidR="00062B53" w:rsidRPr="00E47BF1" w:rsidRDefault="00062B53" w:rsidP="00062B53">
      <w:pPr>
        <w:pStyle w:val="ListParagraph"/>
        <w:widowControl w:val="0"/>
        <w:numPr>
          <w:ilvl w:val="5"/>
          <w:numId w:val="6"/>
        </w:numPr>
        <w:ind w:left="1418" w:hanging="284"/>
        <w:contextualSpacing/>
        <w:jc w:val="both"/>
        <w:outlineLvl w:val="2"/>
        <w:rPr>
          <w:color w:val="000000"/>
          <w:szCs w:val="22"/>
        </w:rPr>
      </w:pPr>
      <w:r w:rsidRPr="00E47BF1">
        <w:rPr>
          <w:color w:val="000000"/>
          <w:szCs w:val="22"/>
        </w:rPr>
        <w:t>Proportional Treaty (column B)</w:t>
      </w:r>
      <w:r w:rsidR="00A719C4" w:rsidRPr="00E47BF1">
        <w:rPr>
          <w:color w:val="000000"/>
          <w:szCs w:val="22"/>
        </w:rPr>
        <w:t>;</w:t>
      </w:r>
      <w:r w:rsidRPr="00E47BF1">
        <w:rPr>
          <w:color w:val="000000"/>
          <w:szCs w:val="22"/>
        </w:rPr>
        <w:t xml:space="preserve"> all proporti</w:t>
      </w:r>
      <w:r w:rsidR="000F5DFC" w:rsidRPr="00E47BF1">
        <w:rPr>
          <w:color w:val="000000"/>
          <w:szCs w:val="22"/>
        </w:rPr>
        <w:t>onal contracts including any SPA</w:t>
      </w:r>
      <w:r w:rsidRPr="00E47BF1">
        <w:rPr>
          <w:color w:val="000000"/>
          <w:szCs w:val="22"/>
        </w:rPr>
        <w:t xml:space="preserve"> quota share arrangements reported in column D of form 105 / 105s   </w:t>
      </w:r>
    </w:p>
    <w:p w:rsidR="00062B53" w:rsidRPr="00E47BF1" w:rsidRDefault="00062B53" w:rsidP="00062B53">
      <w:pPr>
        <w:pStyle w:val="ListParagraph"/>
        <w:widowControl w:val="0"/>
        <w:numPr>
          <w:ilvl w:val="5"/>
          <w:numId w:val="6"/>
        </w:numPr>
        <w:ind w:left="1418" w:hanging="284"/>
        <w:contextualSpacing/>
        <w:jc w:val="both"/>
        <w:outlineLvl w:val="2"/>
        <w:rPr>
          <w:color w:val="000000"/>
          <w:szCs w:val="22"/>
        </w:rPr>
      </w:pPr>
      <w:r w:rsidRPr="00E47BF1">
        <w:rPr>
          <w:color w:val="000000"/>
          <w:szCs w:val="22"/>
        </w:rPr>
        <w:t>Excess of Loss Treaty (column C1)</w:t>
      </w:r>
      <w:r w:rsidR="00A719C4" w:rsidRPr="00E47BF1">
        <w:rPr>
          <w:color w:val="000000"/>
          <w:szCs w:val="22"/>
        </w:rPr>
        <w:t>;</w:t>
      </w:r>
      <w:r w:rsidRPr="00E47BF1">
        <w:rPr>
          <w:color w:val="000000"/>
          <w:szCs w:val="22"/>
        </w:rPr>
        <w:t xml:space="preserve"> </w:t>
      </w:r>
      <w:r w:rsidR="00A719C4" w:rsidRPr="00E47BF1">
        <w:rPr>
          <w:color w:val="000000"/>
          <w:szCs w:val="22"/>
        </w:rPr>
        <w:t>a</w:t>
      </w:r>
      <w:r w:rsidRPr="00E47BF1">
        <w:rPr>
          <w:color w:val="000000"/>
          <w:szCs w:val="22"/>
        </w:rPr>
        <w:t>ll excess of loss contracts other than those where the primary trigger is not the syndicate’s own insurance loss (see D1)</w:t>
      </w:r>
      <w:r w:rsidR="00A719C4" w:rsidRPr="00E47BF1">
        <w:rPr>
          <w:color w:val="000000"/>
          <w:szCs w:val="22"/>
        </w:rPr>
        <w:t>.</w:t>
      </w:r>
    </w:p>
    <w:p w:rsidR="00062B53" w:rsidRPr="00E47BF1" w:rsidRDefault="00062B53" w:rsidP="00062B53">
      <w:pPr>
        <w:pStyle w:val="ListParagraph"/>
        <w:widowControl w:val="0"/>
        <w:numPr>
          <w:ilvl w:val="5"/>
          <w:numId w:val="6"/>
        </w:numPr>
        <w:ind w:left="1418" w:hanging="284"/>
        <w:contextualSpacing/>
        <w:jc w:val="both"/>
        <w:outlineLvl w:val="2"/>
        <w:rPr>
          <w:color w:val="000000"/>
          <w:szCs w:val="22"/>
        </w:rPr>
      </w:pPr>
      <w:r w:rsidRPr="00E47BF1">
        <w:rPr>
          <w:color w:val="000000"/>
          <w:szCs w:val="22"/>
        </w:rPr>
        <w:t>Indexed / Parametric (column D1)</w:t>
      </w:r>
      <w:r w:rsidR="00A719C4" w:rsidRPr="00E47BF1">
        <w:rPr>
          <w:color w:val="000000"/>
          <w:szCs w:val="22"/>
        </w:rPr>
        <w:t>;</w:t>
      </w:r>
      <w:r w:rsidRPr="00E47BF1">
        <w:rPr>
          <w:color w:val="000000"/>
          <w:szCs w:val="22"/>
        </w:rPr>
        <w:t xml:space="preserve"> any product where the primary trigger of the contract is based on an index or parametric rather than the syndicate’s own loss, e.g. Industry Loss Warranty, Original Loss Warranty, Market Loss Warranty, Weighted Industry Loss, State or County Exposure Weighted Loss, meteorological conditions etc.   </w:t>
      </w:r>
    </w:p>
    <w:p w:rsidR="00062B53" w:rsidRPr="00E47BF1" w:rsidRDefault="00062B53" w:rsidP="00062B53">
      <w:pPr>
        <w:pStyle w:val="ListParagraph"/>
        <w:widowControl w:val="0"/>
        <w:numPr>
          <w:ilvl w:val="5"/>
          <w:numId w:val="6"/>
        </w:numPr>
        <w:spacing w:after="120"/>
        <w:ind w:left="1418" w:hanging="284"/>
        <w:contextualSpacing/>
        <w:jc w:val="both"/>
        <w:outlineLvl w:val="2"/>
        <w:rPr>
          <w:color w:val="000000"/>
          <w:szCs w:val="22"/>
        </w:rPr>
      </w:pPr>
      <w:r w:rsidRPr="00E47BF1">
        <w:rPr>
          <w:color w:val="000000"/>
          <w:szCs w:val="22"/>
        </w:rPr>
        <w:t>Stop Loss (column E)</w:t>
      </w:r>
      <w:r w:rsidR="00A719C4" w:rsidRPr="00E47BF1">
        <w:rPr>
          <w:color w:val="000000"/>
          <w:szCs w:val="22"/>
        </w:rPr>
        <w:t>.</w:t>
      </w:r>
      <w:r w:rsidRPr="00E47BF1">
        <w:rPr>
          <w:color w:val="000000"/>
          <w:szCs w:val="22"/>
        </w:rPr>
        <w:t xml:space="preserve"> </w:t>
      </w:r>
    </w:p>
    <w:p w:rsidR="00820BE9" w:rsidRPr="00E47BF1" w:rsidRDefault="00062B53" w:rsidP="0074393D">
      <w:pPr>
        <w:widowControl w:val="0"/>
        <w:spacing w:after="220"/>
        <w:ind w:left="1134"/>
        <w:jc w:val="both"/>
        <w:outlineLvl w:val="2"/>
        <w:rPr>
          <w:color w:val="000000"/>
          <w:szCs w:val="22"/>
        </w:rPr>
      </w:pPr>
      <w:r w:rsidRPr="00E47BF1">
        <w:rPr>
          <w:color w:val="000000"/>
          <w:szCs w:val="22"/>
        </w:rPr>
        <w:t xml:space="preserve">If you plan to purchase reinsurance protections which do not appear to fit cleanly within any these categories, please seek guidance from the Syndicate </w:t>
      </w:r>
      <w:r w:rsidR="00A719C4" w:rsidRPr="00E47BF1">
        <w:rPr>
          <w:color w:val="000000"/>
          <w:szCs w:val="22"/>
        </w:rPr>
        <w:t xml:space="preserve">Business </w:t>
      </w:r>
      <w:r w:rsidRPr="00E47BF1">
        <w:rPr>
          <w:color w:val="000000"/>
          <w:szCs w:val="22"/>
        </w:rPr>
        <w:t xml:space="preserve">Performance or </w:t>
      </w:r>
      <w:r w:rsidR="00A719C4" w:rsidRPr="00E47BF1">
        <w:rPr>
          <w:color w:val="000000"/>
          <w:szCs w:val="22"/>
        </w:rPr>
        <w:t>Outwards</w:t>
      </w:r>
      <w:r w:rsidR="00684F4C" w:rsidRPr="00E47BF1">
        <w:rPr>
          <w:color w:val="000000"/>
          <w:szCs w:val="22"/>
        </w:rPr>
        <w:t xml:space="preserve"> </w:t>
      </w:r>
      <w:r w:rsidRPr="00E47BF1">
        <w:rPr>
          <w:color w:val="000000"/>
          <w:szCs w:val="22"/>
        </w:rPr>
        <w:t>Reinsurance teams at Lloyd’s.</w:t>
      </w:r>
    </w:p>
    <w:p w:rsidR="00062B53" w:rsidRPr="00E47BF1" w:rsidRDefault="00061345" w:rsidP="00EF50F0">
      <w:pPr>
        <w:pStyle w:val="Heading2"/>
        <w:tabs>
          <w:tab w:val="num" w:pos="851"/>
        </w:tabs>
        <w:ind w:left="1134" w:hanging="1134"/>
        <w:rPr>
          <w:sz w:val="24"/>
          <w:szCs w:val="24"/>
        </w:rPr>
      </w:pPr>
      <w:r w:rsidRPr="00E47BF1">
        <w:rPr>
          <w:sz w:val="24"/>
          <w:szCs w:val="24"/>
        </w:rPr>
        <w:t xml:space="preserve">    </w:t>
      </w:r>
      <w:r w:rsidR="00062B53" w:rsidRPr="00E47BF1">
        <w:rPr>
          <w:sz w:val="24"/>
          <w:szCs w:val="24"/>
        </w:rPr>
        <w:t>Reinsurance Counterparty Financial Strength / Quality</w:t>
      </w:r>
    </w:p>
    <w:p w:rsidR="00062B53" w:rsidRPr="00E47BF1" w:rsidRDefault="00062B53" w:rsidP="004D4456">
      <w:pPr>
        <w:pStyle w:val="Heading3"/>
        <w:tabs>
          <w:tab w:val="clear" w:pos="851"/>
          <w:tab w:val="num" w:pos="1134"/>
        </w:tabs>
        <w:ind w:left="1134" w:hanging="1134"/>
      </w:pPr>
      <w:r w:rsidRPr="00E47BF1">
        <w:t xml:space="preserve">The information reported will be used to evaluate the financial strength of the reinsurance counterparties and form part of counterparty credit risk assessments. </w:t>
      </w:r>
    </w:p>
    <w:p w:rsidR="00062B53" w:rsidRDefault="00062B53" w:rsidP="00235165">
      <w:pPr>
        <w:pStyle w:val="Heading3"/>
        <w:tabs>
          <w:tab w:val="clear" w:pos="851"/>
          <w:tab w:val="num" w:pos="1134"/>
        </w:tabs>
        <w:spacing w:after="0"/>
        <w:ind w:left="1134" w:hanging="1134"/>
      </w:pPr>
      <w:r w:rsidRPr="00E47BF1">
        <w:t>A percentage breakdown of the expected financial rating strength for the planned reinsurance counterparties are to be reported within each of the six financial strength rating categories:</w:t>
      </w:r>
    </w:p>
    <w:p w:rsidR="00FD61A4" w:rsidRPr="00E47BF1" w:rsidRDefault="00FD61A4" w:rsidP="00235165">
      <w:pPr>
        <w:pStyle w:val="Heading3"/>
        <w:numPr>
          <w:ilvl w:val="0"/>
          <w:numId w:val="0"/>
        </w:numPr>
        <w:tabs>
          <w:tab w:val="clear" w:pos="851"/>
          <w:tab w:val="num" w:pos="1288"/>
        </w:tabs>
        <w:spacing w:after="0"/>
        <w:ind w:left="1134"/>
      </w:pPr>
    </w:p>
    <w:p w:rsidR="00FD61A4" w:rsidRPr="00235165" w:rsidRDefault="00062B53" w:rsidP="00235165">
      <w:pPr>
        <w:pStyle w:val="ListParagraph"/>
        <w:widowControl w:val="0"/>
        <w:numPr>
          <w:ilvl w:val="0"/>
          <w:numId w:val="52"/>
        </w:numPr>
        <w:ind w:left="1560"/>
        <w:jc w:val="both"/>
        <w:outlineLvl w:val="2"/>
        <w:rPr>
          <w:b/>
          <w:color w:val="000000"/>
          <w:szCs w:val="22"/>
        </w:rPr>
      </w:pPr>
      <w:r w:rsidRPr="00235165">
        <w:rPr>
          <w:b/>
          <w:color w:val="000000"/>
          <w:szCs w:val="22"/>
        </w:rPr>
        <w:t>Lloyd’s</w:t>
      </w:r>
      <w:r w:rsidR="00A719C4" w:rsidRPr="00235165">
        <w:rPr>
          <w:b/>
          <w:color w:val="000000"/>
          <w:szCs w:val="22"/>
        </w:rPr>
        <w:t xml:space="preserve"> syndicate</w:t>
      </w:r>
      <w:r w:rsidR="00FD61A4" w:rsidRPr="00235165">
        <w:rPr>
          <w:b/>
          <w:color w:val="000000"/>
          <w:szCs w:val="22"/>
        </w:rPr>
        <w:t>(s)</w:t>
      </w:r>
    </w:p>
    <w:p w:rsidR="00062B53" w:rsidRPr="00E804A8" w:rsidRDefault="00FD61A4" w:rsidP="00235165">
      <w:pPr>
        <w:pStyle w:val="ListParagraph"/>
        <w:widowControl w:val="0"/>
        <w:spacing w:after="220"/>
        <w:ind w:left="1560"/>
        <w:jc w:val="both"/>
        <w:outlineLvl w:val="2"/>
        <w:rPr>
          <w:color w:val="000000"/>
          <w:szCs w:val="22"/>
        </w:rPr>
      </w:pPr>
      <w:r>
        <w:rPr>
          <w:color w:val="000000"/>
          <w:szCs w:val="22"/>
        </w:rPr>
        <w:t>This</w:t>
      </w:r>
      <w:r w:rsidR="00E804A8">
        <w:rPr>
          <w:color w:val="000000"/>
          <w:szCs w:val="22"/>
        </w:rPr>
        <w:t xml:space="preserve"> category</w:t>
      </w:r>
      <w:r>
        <w:rPr>
          <w:color w:val="000000"/>
          <w:szCs w:val="22"/>
        </w:rPr>
        <w:t xml:space="preserve"> </w:t>
      </w:r>
      <w:r w:rsidRPr="00235165">
        <w:rPr>
          <w:color w:val="000000"/>
          <w:szCs w:val="22"/>
        </w:rPr>
        <w:t>s</w:t>
      </w:r>
      <w:r w:rsidR="00062B53" w:rsidRPr="00E804A8">
        <w:rPr>
          <w:color w:val="000000"/>
          <w:szCs w:val="22"/>
        </w:rPr>
        <w:t>hould be used to report the scale of reinsurance to be placed with Lloy</w:t>
      </w:r>
      <w:r w:rsidR="000F5DFC" w:rsidRPr="00E804A8">
        <w:rPr>
          <w:color w:val="000000"/>
          <w:szCs w:val="22"/>
        </w:rPr>
        <w:t>d’s</w:t>
      </w:r>
      <w:r>
        <w:rPr>
          <w:color w:val="000000"/>
          <w:szCs w:val="22"/>
        </w:rPr>
        <w:t xml:space="preserve"> </w:t>
      </w:r>
      <w:r w:rsidR="000F5DFC" w:rsidRPr="00E804A8">
        <w:rPr>
          <w:color w:val="000000"/>
          <w:szCs w:val="22"/>
        </w:rPr>
        <w:t>syndicates including any SPA</w:t>
      </w:r>
      <w:r w:rsidR="00062B53" w:rsidRPr="00E804A8">
        <w:rPr>
          <w:color w:val="000000"/>
          <w:szCs w:val="22"/>
        </w:rPr>
        <w:t xml:space="preserve"> quota share arrangements reported in column D of form 105 / 105s</w:t>
      </w:r>
      <w:r>
        <w:rPr>
          <w:color w:val="000000"/>
          <w:szCs w:val="22"/>
        </w:rPr>
        <w:t>.</w:t>
      </w:r>
    </w:p>
    <w:p w:rsidR="00A719C4" w:rsidRPr="00235165" w:rsidRDefault="00A719C4" w:rsidP="00235165">
      <w:pPr>
        <w:pStyle w:val="ListParagraph"/>
        <w:widowControl w:val="0"/>
        <w:numPr>
          <w:ilvl w:val="0"/>
          <w:numId w:val="52"/>
        </w:numPr>
        <w:tabs>
          <w:tab w:val="left" w:pos="1134"/>
        </w:tabs>
        <w:spacing w:after="220"/>
        <w:ind w:left="1560"/>
        <w:jc w:val="both"/>
        <w:outlineLvl w:val="2"/>
        <w:rPr>
          <w:b/>
          <w:color w:val="000000"/>
          <w:u w:val="single"/>
        </w:rPr>
      </w:pPr>
      <w:r w:rsidRPr="00235165">
        <w:rPr>
          <w:b/>
          <w:color w:val="000000"/>
        </w:rPr>
        <w:t>Financial Strength Rating</w:t>
      </w:r>
      <w:r w:rsidR="00E804A8">
        <w:rPr>
          <w:b/>
          <w:color w:val="000000"/>
        </w:rPr>
        <w:t xml:space="preserve"> (FSR)</w:t>
      </w:r>
      <w:r w:rsidRPr="00235165">
        <w:rPr>
          <w:b/>
          <w:color w:val="000000"/>
        </w:rPr>
        <w:t xml:space="preserve"> equivalent of A- up to AAA</w:t>
      </w:r>
    </w:p>
    <w:p w:rsidR="00A719C4" w:rsidRPr="00235165" w:rsidRDefault="00A719C4" w:rsidP="00235165">
      <w:pPr>
        <w:pStyle w:val="ListParagraph"/>
        <w:widowControl w:val="0"/>
        <w:numPr>
          <w:ilvl w:val="0"/>
          <w:numId w:val="52"/>
        </w:numPr>
        <w:tabs>
          <w:tab w:val="left" w:pos="1134"/>
        </w:tabs>
        <w:spacing w:after="220"/>
        <w:ind w:left="1560"/>
        <w:jc w:val="both"/>
        <w:outlineLvl w:val="2"/>
        <w:rPr>
          <w:b/>
          <w:color w:val="000000"/>
          <w:u w:val="single"/>
        </w:rPr>
      </w:pPr>
      <w:r w:rsidRPr="00235165">
        <w:rPr>
          <w:b/>
          <w:color w:val="000000"/>
        </w:rPr>
        <w:t xml:space="preserve">Financial Strength Rating </w:t>
      </w:r>
      <w:r w:rsidR="00E804A8">
        <w:rPr>
          <w:b/>
          <w:color w:val="000000"/>
        </w:rPr>
        <w:t>(FSR)</w:t>
      </w:r>
      <w:r w:rsidR="00E804A8" w:rsidRPr="00BF754D">
        <w:rPr>
          <w:b/>
          <w:color w:val="000000"/>
        </w:rPr>
        <w:t xml:space="preserve"> </w:t>
      </w:r>
      <w:r w:rsidRPr="00235165">
        <w:rPr>
          <w:b/>
          <w:color w:val="000000"/>
        </w:rPr>
        <w:t>equivalent of B- up to BBB+</w:t>
      </w:r>
    </w:p>
    <w:p w:rsidR="00A719C4" w:rsidRPr="00235165" w:rsidRDefault="00A719C4" w:rsidP="00235165">
      <w:pPr>
        <w:pStyle w:val="ListParagraph"/>
        <w:widowControl w:val="0"/>
        <w:numPr>
          <w:ilvl w:val="0"/>
          <w:numId w:val="52"/>
        </w:numPr>
        <w:tabs>
          <w:tab w:val="left" w:pos="1134"/>
        </w:tabs>
        <w:spacing w:after="220"/>
        <w:ind w:left="1560"/>
        <w:jc w:val="both"/>
        <w:outlineLvl w:val="2"/>
        <w:rPr>
          <w:b/>
          <w:color w:val="000000"/>
          <w:u w:val="single"/>
        </w:rPr>
      </w:pPr>
      <w:r w:rsidRPr="00235165">
        <w:rPr>
          <w:b/>
          <w:color w:val="000000"/>
        </w:rPr>
        <w:t xml:space="preserve">Financial Strength Rating </w:t>
      </w:r>
      <w:r w:rsidR="00E804A8">
        <w:rPr>
          <w:b/>
          <w:color w:val="000000"/>
        </w:rPr>
        <w:t>(FSR)</w:t>
      </w:r>
      <w:r w:rsidR="00E804A8" w:rsidRPr="00BF754D">
        <w:rPr>
          <w:b/>
          <w:color w:val="000000"/>
        </w:rPr>
        <w:t xml:space="preserve"> </w:t>
      </w:r>
      <w:r w:rsidRPr="00235165">
        <w:rPr>
          <w:b/>
          <w:color w:val="000000"/>
        </w:rPr>
        <w:t>equivalent of C- up to CCC+</w:t>
      </w:r>
    </w:p>
    <w:p w:rsidR="00062B53" w:rsidRPr="00235165" w:rsidRDefault="00A719C4" w:rsidP="00235165">
      <w:pPr>
        <w:pStyle w:val="ListParagraph"/>
        <w:widowControl w:val="0"/>
        <w:numPr>
          <w:ilvl w:val="0"/>
          <w:numId w:val="52"/>
        </w:numPr>
        <w:tabs>
          <w:tab w:val="left" w:pos="1134"/>
        </w:tabs>
        <w:spacing w:after="220"/>
        <w:ind w:left="1560"/>
        <w:jc w:val="both"/>
        <w:outlineLvl w:val="2"/>
        <w:rPr>
          <w:b/>
          <w:color w:val="000000"/>
          <w:u w:val="single"/>
        </w:rPr>
      </w:pPr>
      <w:r w:rsidRPr="00235165">
        <w:rPr>
          <w:b/>
          <w:color w:val="000000"/>
        </w:rPr>
        <w:t>Under regulatory supervision / financially impaired</w:t>
      </w:r>
      <w:r w:rsidR="00E804A8" w:rsidRPr="00235165">
        <w:rPr>
          <w:b/>
          <w:color w:val="000000"/>
        </w:rPr>
        <w:t>.</w:t>
      </w:r>
    </w:p>
    <w:p w:rsidR="00FD61A4" w:rsidRPr="00235165" w:rsidRDefault="004B4B77" w:rsidP="00235165">
      <w:pPr>
        <w:pStyle w:val="ListParagraph"/>
        <w:widowControl w:val="0"/>
        <w:numPr>
          <w:ilvl w:val="0"/>
          <w:numId w:val="52"/>
        </w:numPr>
        <w:tabs>
          <w:tab w:val="left" w:pos="1134"/>
        </w:tabs>
        <w:ind w:left="1560"/>
        <w:jc w:val="both"/>
        <w:outlineLvl w:val="2"/>
        <w:rPr>
          <w:b/>
          <w:color w:val="000000"/>
          <w:szCs w:val="22"/>
        </w:rPr>
      </w:pPr>
      <w:r w:rsidRPr="00235165">
        <w:rPr>
          <w:b/>
          <w:color w:val="000000"/>
          <w:szCs w:val="22"/>
        </w:rPr>
        <w:t>Not rated by a credit rating</w:t>
      </w:r>
      <w:r w:rsidR="00FD61A4" w:rsidRPr="00235165">
        <w:rPr>
          <w:b/>
          <w:color w:val="000000"/>
          <w:szCs w:val="22"/>
        </w:rPr>
        <w:t xml:space="preserve"> agency</w:t>
      </w:r>
    </w:p>
    <w:p w:rsidR="00FD61A4" w:rsidRDefault="00FD61A4" w:rsidP="00235165">
      <w:pPr>
        <w:pStyle w:val="ListParagraph"/>
        <w:widowControl w:val="0"/>
        <w:tabs>
          <w:tab w:val="left" w:pos="1134"/>
        </w:tabs>
        <w:ind w:left="1560"/>
        <w:jc w:val="both"/>
        <w:outlineLvl w:val="2"/>
      </w:pPr>
      <w:r>
        <w:rPr>
          <w:color w:val="000000"/>
          <w:szCs w:val="22"/>
        </w:rPr>
        <w:t xml:space="preserve">This </w:t>
      </w:r>
      <w:r w:rsidR="00E804A8">
        <w:rPr>
          <w:color w:val="000000"/>
          <w:szCs w:val="22"/>
        </w:rPr>
        <w:t>category</w:t>
      </w:r>
      <w:r>
        <w:rPr>
          <w:color w:val="000000"/>
          <w:szCs w:val="22"/>
        </w:rPr>
        <w:t xml:space="preserve"> </w:t>
      </w:r>
      <w:r w:rsidR="00062B53" w:rsidRPr="00E804A8">
        <w:rPr>
          <w:color w:val="000000"/>
          <w:szCs w:val="22"/>
        </w:rPr>
        <w:t>should be used to report the proportion of reinsurance to be placed with reinsurance entities or pools that do not hold a FSR from the rating agencies used by the syndicate</w:t>
      </w:r>
      <w:r w:rsidR="00062B53" w:rsidRPr="00E47BF1">
        <w:t xml:space="preserve"> in its normal reinsurance counterparty financial strength assessments.</w:t>
      </w:r>
      <w:r w:rsidR="00062B53" w:rsidRPr="00E804A8">
        <w:rPr>
          <w:color w:val="000000"/>
          <w:szCs w:val="22"/>
        </w:rPr>
        <w:t xml:space="preserve"> Please pro</w:t>
      </w:r>
      <w:r w:rsidR="00062B53" w:rsidRPr="00E47BF1">
        <w:t>vide a brief summary of these arrangements within the comments section, and a detailed explanation as part of the Reinsurance Strategy commentary within Form 990</w:t>
      </w:r>
      <w:r>
        <w:t>.</w:t>
      </w:r>
    </w:p>
    <w:p w:rsidR="00062B53" w:rsidRPr="00E804A8" w:rsidRDefault="00062B53" w:rsidP="00235165">
      <w:pPr>
        <w:pStyle w:val="ListParagraph"/>
        <w:widowControl w:val="0"/>
        <w:tabs>
          <w:tab w:val="left" w:pos="1134"/>
        </w:tabs>
        <w:ind w:left="1701"/>
        <w:jc w:val="both"/>
        <w:outlineLvl w:val="2"/>
        <w:rPr>
          <w:color w:val="000000"/>
          <w:szCs w:val="22"/>
        </w:rPr>
      </w:pPr>
    </w:p>
    <w:p w:rsidR="00062B53" w:rsidRPr="00E47BF1" w:rsidRDefault="00062B53" w:rsidP="002E21A6">
      <w:pPr>
        <w:widowControl w:val="0"/>
        <w:tabs>
          <w:tab w:val="left" w:pos="1134"/>
        </w:tabs>
        <w:ind w:left="1134"/>
        <w:jc w:val="both"/>
        <w:outlineLvl w:val="2"/>
      </w:pPr>
      <w:r w:rsidRPr="00E47BF1">
        <w:rPr>
          <w:u w:val="single"/>
        </w:rPr>
        <w:t>Column A1:</w:t>
      </w:r>
      <w:r w:rsidRPr="00E47BF1">
        <w:t xml:space="preserve"> </w:t>
      </w:r>
      <w:r w:rsidR="00FD61A4">
        <w:t>“</w:t>
      </w:r>
      <w:r w:rsidRPr="00E47BF1">
        <w:t xml:space="preserve">% </w:t>
      </w:r>
      <w:r w:rsidR="004B4B77" w:rsidRPr="00E47BF1">
        <w:t xml:space="preserve">total </w:t>
      </w:r>
      <w:r w:rsidRPr="00E47BF1">
        <w:t>of</w:t>
      </w:r>
      <w:r w:rsidR="004B4B77" w:rsidRPr="00E47BF1">
        <w:t xml:space="preserve"> each FSR</w:t>
      </w:r>
      <w:r w:rsidRPr="00E47BF1">
        <w:t xml:space="preserve"> category which is to be collateralised</w:t>
      </w:r>
      <w:r w:rsidR="00FD61A4">
        <w:t>”</w:t>
      </w:r>
      <w:r w:rsidRPr="00E47BF1">
        <w:t xml:space="preserve"> should be used to estimate how much of the exposures to be ceded to the reinsurers in each financial strength rating category (1-6) is expected to be supported by a form of collateral. Any of the following forms of collateral can be considered, as long as they are in place from inception of the reinsurance contract:</w:t>
      </w:r>
    </w:p>
    <w:p w:rsidR="0074393D" w:rsidRPr="00E47BF1" w:rsidRDefault="0074393D" w:rsidP="002E21A6">
      <w:pPr>
        <w:widowControl w:val="0"/>
        <w:tabs>
          <w:tab w:val="left" w:pos="1134"/>
        </w:tabs>
        <w:ind w:left="1134"/>
        <w:jc w:val="both"/>
        <w:outlineLvl w:val="2"/>
      </w:pPr>
    </w:p>
    <w:p w:rsidR="00062B53" w:rsidRPr="00E47BF1" w:rsidRDefault="00062B53" w:rsidP="0074393D">
      <w:pPr>
        <w:pStyle w:val="ListParagraph"/>
        <w:widowControl w:val="0"/>
        <w:numPr>
          <w:ilvl w:val="2"/>
          <w:numId w:val="23"/>
        </w:numPr>
        <w:tabs>
          <w:tab w:val="left" w:pos="1418"/>
        </w:tabs>
        <w:spacing w:after="220"/>
        <w:ind w:left="1134" w:firstLine="0"/>
        <w:contextualSpacing/>
        <w:jc w:val="both"/>
        <w:outlineLvl w:val="2"/>
      </w:pPr>
      <w:r w:rsidRPr="00E47BF1">
        <w:t>Cash or equivalent in trust</w:t>
      </w:r>
    </w:p>
    <w:p w:rsidR="00062B53" w:rsidRPr="00E47BF1" w:rsidRDefault="00062B53" w:rsidP="009A3C84">
      <w:pPr>
        <w:pStyle w:val="ListParagraph"/>
        <w:widowControl w:val="0"/>
        <w:numPr>
          <w:ilvl w:val="2"/>
          <w:numId w:val="23"/>
        </w:numPr>
        <w:tabs>
          <w:tab w:val="left" w:pos="1134"/>
        </w:tabs>
        <w:spacing w:after="220"/>
        <w:ind w:left="1134" w:firstLine="0"/>
        <w:contextualSpacing/>
        <w:jc w:val="both"/>
        <w:outlineLvl w:val="2"/>
      </w:pPr>
      <w:r w:rsidRPr="00E47BF1">
        <w:t>Cash or funds withheld</w:t>
      </w:r>
    </w:p>
    <w:p w:rsidR="00062B53" w:rsidRPr="00E47BF1" w:rsidRDefault="00062B53" w:rsidP="009A3C84">
      <w:pPr>
        <w:pStyle w:val="ListParagraph"/>
        <w:widowControl w:val="0"/>
        <w:numPr>
          <w:ilvl w:val="2"/>
          <w:numId w:val="23"/>
        </w:numPr>
        <w:tabs>
          <w:tab w:val="left" w:pos="1134"/>
        </w:tabs>
        <w:spacing w:after="220"/>
        <w:ind w:left="1134" w:firstLine="0"/>
        <w:contextualSpacing/>
        <w:jc w:val="both"/>
        <w:outlineLvl w:val="2"/>
      </w:pPr>
      <w:r w:rsidRPr="00E47BF1">
        <w:t>Letters of credit</w:t>
      </w:r>
    </w:p>
    <w:p w:rsidR="00062B53" w:rsidRPr="00E47BF1" w:rsidRDefault="00062B53" w:rsidP="009A3C84">
      <w:pPr>
        <w:pStyle w:val="ListParagraph"/>
        <w:widowControl w:val="0"/>
        <w:numPr>
          <w:ilvl w:val="2"/>
          <w:numId w:val="23"/>
        </w:numPr>
        <w:tabs>
          <w:tab w:val="left" w:pos="1134"/>
        </w:tabs>
        <w:spacing w:after="220"/>
        <w:ind w:left="1134" w:firstLine="0"/>
        <w:contextualSpacing/>
        <w:jc w:val="both"/>
        <w:outlineLvl w:val="2"/>
      </w:pPr>
      <w:r w:rsidRPr="00E47BF1">
        <w:t xml:space="preserve">Assets in trust   </w:t>
      </w:r>
    </w:p>
    <w:p w:rsidR="00062B53" w:rsidRPr="00E47BF1" w:rsidRDefault="00062B53" w:rsidP="002E21A6">
      <w:pPr>
        <w:widowControl w:val="0"/>
        <w:tabs>
          <w:tab w:val="left" w:pos="1134"/>
        </w:tabs>
        <w:spacing w:after="220"/>
        <w:ind w:left="1134"/>
        <w:jc w:val="both"/>
        <w:outlineLvl w:val="2"/>
      </w:pPr>
      <w:r w:rsidRPr="00E47BF1">
        <w:t xml:space="preserve">This should be expressed as a proportion of the financial strength rating category itself i.e. each category could independently be 100%, so if Category 6 represented 5% of the syndicates reinsurance premium and the ceded exposures </w:t>
      </w:r>
      <w:r w:rsidR="004B4B77" w:rsidRPr="00E47BF1">
        <w:t>are</w:t>
      </w:r>
      <w:r w:rsidRPr="00E47BF1">
        <w:t xml:space="preserve"> to be supported 100% by collateral arrangements</w:t>
      </w:r>
      <w:r w:rsidR="004B4B77" w:rsidRPr="00E47BF1">
        <w:t>,</w:t>
      </w:r>
      <w:r w:rsidRPr="00E47BF1">
        <w:t xml:space="preserve"> then 100.00 should be reported in Column A1, i.e. 100% of the 5% is supported by collateral. If only 50% of the ceded exposures, are to be supported by collateral, then 50.00 should be reported.      </w:t>
      </w:r>
    </w:p>
    <w:p w:rsidR="00941277" w:rsidRPr="00E47BF1" w:rsidRDefault="00062B53" w:rsidP="00E62E9C">
      <w:pPr>
        <w:widowControl w:val="0"/>
        <w:tabs>
          <w:tab w:val="left" w:pos="1134"/>
        </w:tabs>
        <w:spacing w:after="220"/>
        <w:ind w:left="1134"/>
        <w:jc w:val="both"/>
        <w:outlineLvl w:val="2"/>
      </w:pPr>
      <w:r w:rsidRPr="00E47BF1">
        <w:t>Please provide a brief summary of the structure and nature of the planned collateral arrangements within the comments section, and a detailed explanation as part of the Reinsurance Strategy commentary within Form 990.</w:t>
      </w:r>
    </w:p>
    <w:p w:rsidR="00062B53" w:rsidRPr="00E47BF1" w:rsidRDefault="00062B53" w:rsidP="002E21A6">
      <w:pPr>
        <w:widowControl w:val="0"/>
        <w:tabs>
          <w:tab w:val="left" w:pos="1134"/>
        </w:tabs>
        <w:spacing w:after="160"/>
        <w:ind w:left="1134"/>
        <w:jc w:val="both"/>
        <w:outlineLvl w:val="2"/>
        <w:rPr>
          <w:color w:val="000000"/>
          <w:szCs w:val="22"/>
        </w:rPr>
      </w:pPr>
      <w:r w:rsidRPr="00E47BF1">
        <w:rPr>
          <w:color w:val="000000"/>
          <w:szCs w:val="22"/>
        </w:rPr>
        <w:t>The estimated Outwards reinsurance premium amount by type of contract and financial strength categories will be automatically calculated in the table entitled Outwards Reinsurance Premiums (CNV).</w:t>
      </w:r>
    </w:p>
    <w:p w:rsidR="00E62E9C" w:rsidRPr="00E47BF1" w:rsidRDefault="00E62E9C" w:rsidP="002E21A6">
      <w:pPr>
        <w:widowControl w:val="0"/>
        <w:tabs>
          <w:tab w:val="left" w:pos="1134"/>
        </w:tabs>
        <w:spacing w:after="160"/>
        <w:ind w:left="1134"/>
        <w:jc w:val="both"/>
        <w:outlineLvl w:val="2"/>
        <w:rPr>
          <w:color w:val="000000"/>
          <w:szCs w:val="22"/>
        </w:rPr>
      </w:pPr>
    </w:p>
    <w:p w:rsidR="00062B53" w:rsidRPr="00E47BF1" w:rsidRDefault="00061345" w:rsidP="00C321B4">
      <w:pPr>
        <w:pStyle w:val="Heading2"/>
        <w:tabs>
          <w:tab w:val="num" w:pos="851"/>
          <w:tab w:val="num" w:pos="1134"/>
        </w:tabs>
        <w:rPr>
          <w:sz w:val="24"/>
          <w:szCs w:val="24"/>
        </w:rPr>
      </w:pPr>
      <w:r w:rsidRPr="00E47BF1">
        <w:rPr>
          <w:sz w:val="22"/>
          <w:szCs w:val="22"/>
        </w:rPr>
        <w:t xml:space="preserve">    </w:t>
      </w:r>
      <w:r w:rsidR="002E21A6" w:rsidRPr="00E47BF1">
        <w:rPr>
          <w:sz w:val="22"/>
          <w:szCs w:val="22"/>
        </w:rPr>
        <w:t xml:space="preserve"> </w:t>
      </w:r>
      <w:r w:rsidR="00062B53" w:rsidRPr="00E47BF1">
        <w:rPr>
          <w:sz w:val="24"/>
          <w:szCs w:val="24"/>
        </w:rPr>
        <w:t>Outwards Reinsurance Contract type Summary</w:t>
      </w:r>
    </w:p>
    <w:p w:rsidR="00062B53" w:rsidRPr="00E47BF1" w:rsidRDefault="00062B53" w:rsidP="00C321B4">
      <w:pPr>
        <w:pStyle w:val="Heading3"/>
        <w:tabs>
          <w:tab w:val="clear" w:pos="851"/>
          <w:tab w:val="num" w:pos="-142"/>
          <w:tab w:val="left" w:pos="1134"/>
        </w:tabs>
        <w:ind w:left="1134" w:hanging="1134"/>
      </w:pPr>
      <w:r w:rsidRPr="00E47BF1">
        <w:t xml:space="preserve">In addition to </w:t>
      </w:r>
      <w:r w:rsidR="00120197">
        <w:t>18</w:t>
      </w:r>
      <w:r w:rsidRPr="00E47BF1">
        <w:t>.3, Managing agents are required to als</w:t>
      </w:r>
      <w:r w:rsidR="0043152C" w:rsidRPr="00E47BF1">
        <w:t xml:space="preserve">o provide an estimation of the </w:t>
      </w:r>
      <w:r w:rsidR="0074393D" w:rsidRPr="00E47BF1">
        <w:t xml:space="preserve">% </w:t>
      </w:r>
      <w:r w:rsidRPr="00E47BF1">
        <w:t>of outwards reinsurance premium to be ceded under any of the following types of reinsurance contracts:</w:t>
      </w:r>
    </w:p>
    <w:p w:rsidR="00062B53" w:rsidRPr="00E47BF1" w:rsidRDefault="00062B53" w:rsidP="00EF50F0">
      <w:pPr>
        <w:pStyle w:val="ListParagraph"/>
        <w:widowControl w:val="0"/>
        <w:numPr>
          <w:ilvl w:val="2"/>
          <w:numId w:val="22"/>
        </w:numPr>
        <w:tabs>
          <w:tab w:val="clear" w:pos="720"/>
          <w:tab w:val="left" w:pos="993"/>
          <w:tab w:val="num" w:pos="1134"/>
        </w:tabs>
        <w:spacing w:after="160"/>
        <w:ind w:firstLine="414"/>
        <w:contextualSpacing/>
        <w:jc w:val="both"/>
        <w:outlineLvl w:val="2"/>
        <w:rPr>
          <w:color w:val="000000"/>
          <w:szCs w:val="22"/>
        </w:rPr>
      </w:pPr>
      <w:r w:rsidRPr="00E47BF1">
        <w:rPr>
          <w:color w:val="000000"/>
          <w:szCs w:val="22"/>
        </w:rPr>
        <w:t>Shared Reinsurance Contracts* (Column M, row 1)</w:t>
      </w:r>
    </w:p>
    <w:p w:rsidR="00062B53" w:rsidRPr="00E47BF1" w:rsidRDefault="00062B53" w:rsidP="00EF50F0">
      <w:pPr>
        <w:pStyle w:val="ListParagraph"/>
        <w:widowControl w:val="0"/>
        <w:numPr>
          <w:ilvl w:val="2"/>
          <w:numId w:val="22"/>
        </w:numPr>
        <w:tabs>
          <w:tab w:val="clear" w:pos="720"/>
          <w:tab w:val="left" w:pos="993"/>
          <w:tab w:val="num" w:pos="1134"/>
        </w:tabs>
        <w:spacing w:after="160"/>
        <w:ind w:firstLine="414"/>
        <w:contextualSpacing/>
        <w:jc w:val="both"/>
        <w:outlineLvl w:val="2"/>
        <w:rPr>
          <w:color w:val="000000"/>
          <w:szCs w:val="22"/>
        </w:rPr>
      </w:pPr>
      <w:r w:rsidRPr="00E47BF1">
        <w:rPr>
          <w:color w:val="000000"/>
          <w:szCs w:val="22"/>
        </w:rPr>
        <w:t>Related Party Reinsurance Contracts** (Column M, row 2)</w:t>
      </w:r>
    </w:p>
    <w:p w:rsidR="00062B53" w:rsidRPr="00E47BF1" w:rsidRDefault="00062B53" w:rsidP="00EF50F0">
      <w:pPr>
        <w:pStyle w:val="ListParagraph"/>
        <w:widowControl w:val="0"/>
        <w:numPr>
          <w:ilvl w:val="2"/>
          <w:numId w:val="22"/>
        </w:numPr>
        <w:tabs>
          <w:tab w:val="clear" w:pos="720"/>
          <w:tab w:val="left" w:pos="993"/>
          <w:tab w:val="num" w:pos="1134"/>
        </w:tabs>
        <w:spacing w:after="160"/>
        <w:ind w:firstLine="414"/>
        <w:contextualSpacing/>
        <w:jc w:val="both"/>
        <w:outlineLvl w:val="2"/>
        <w:rPr>
          <w:color w:val="000000"/>
          <w:szCs w:val="22"/>
        </w:rPr>
      </w:pPr>
      <w:r w:rsidRPr="00E47BF1">
        <w:rPr>
          <w:color w:val="000000"/>
          <w:szCs w:val="22"/>
        </w:rPr>
        <w:t xml:space="preserve">Non-Standard Reinsurance Contracts*** (Column M, row 3) </w:t>
      </w: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rPr>
        <w:t xml:space="preserve">Unlike the proceeding tables these are independent not cumulative categories. </w:t>
      </w: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rPr>
        <w:t xml:space="preserve">If any of the above is planned reinsurance arrangements, please provide a brief summary of the arrangements within the comments section, and a detailed explanation as part of the Reinsurance Strategy commentary. </w:t>
      </w: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u w:val="single"/>
        </w:rPr>
        <w:t>*Shared Reinsurance Contracts</w:t>
      </w:r>
      <w:r w:rsidRPr="00E47BF1">
        <w:rPr>
          <w:color w:val="000000"/>
          <w:szCs w:val="22"/>
        </w:rPr>
        <w:t xml:space="preserve"> being defined as: “Any reinsurance contracts where the syndicate shares any part of the </w:t>
      </w:r>
      <w:r w:rsidR="001235A3" w:rsidRPr="00E47BF1">
        <w:rPr>
          <w:color w:val="000000"/>
          <w:szCs w:val="22"/>
        </w:rPr>
        <w:t xml:space="preserve">reinsurance </w:t>
      </w:r>
      <w:r w:rsidRPr="00E47BF1">
        <w:rPr>
          <w:color w:val="000000"/>
          <w:szCs w:val="22"/>
        </w:rPr>
        <w:t>contract</w:t>
      </w:r>
      <w:r w:rsidR="001235A3" w:rsidRPr="00E47BF1">
        <w:rPr>
          <w:color w:val="000000"/>
          <w:szCs w:val="22"/>
        </w:rPr>
        <w:t xml:space="preserve"> wording, coverage </w:t>
      </w:r>
      <w:r w:rsidRPr="00E47BF1">
        <w:rPr>
          <w:color w:val="000000"/>
          <w:szCs w:val="22"/>
        </w:rPr>
        <w:t xml:space="preserve">and/or the limits and retentions thereunder with any other entities / parties. This should include entities that are both related and un-related to the syndicate. This should include contracts that provide ‘common’ or ‘joint’ account protections for multiple entities.  </w:t>
      </w: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rPr>
        <w:t xml:space="preserve">Only the portion of the syndicate’s own estimated outwards reinsurance premium that is planned to be spent on these contracts should be included in this field, not the total 100% contract value for all entities.   </w:t>
      </w:r>
    </w:p>
    <w:p w:rsidR="00062B53" w:rsidRPr="00E47BF1" w:rsidRDefault="00062B53" w:rsidP="00EF50F0">
      <w:pPr>
        <w:widowControl w:val="0"/>
        <w:tabs>
          <w:tab w:val="left" w:pos="993"/>
          <w:tab w:val="left" w:pos="1134"/>
        </w:tabs>
        <w:ind w:left="1134"/>
        <w:jc w:val="both"/>
        <w:outlineLvl w:val="2"/>
        <w:rPr>
          <w:color w:val="000000"/>
          <w:szCs w:val="22"/>
        </w:rPr>
      </w:pPr>
      <w:r w:rsidRPr="00E47BF1">
        <w:rPr>
          <w:color w:val="000000"/>
          <w:szCs w:val="22"/>
          <w:u w:val="single"/>
        </w:rPr>
        <w:t>**Related Party Reinsurance Contracts</w:t>
      </w:r>
      <w:r w:rsidRPr="00E47BF1">
        <w:rPr>
          <w:color w:val="000000"/>
          <w:szCs w:val="22"/>
        </w:rPr>
        <w:t xml:space="preserve"> being defined as: Any reinsurance contracts where the contract is being underwritten in part or in full by a reinsurer that is:   </w:t>
      </w:r>
    </w:p>
    <w:p w:rsidR="00062B53" w:rsidRPr="00E47BF1" w:rsidRDefault="00062B53" w:rsidP="00EF50F0">
      <w:pPr>
        <w:widowControl w:val="0"/>
        <w:numPr>
          <w:ilvl w:val="2"/>
          <w:numId w:val="15"/>
        </w:numPr>
        <w:tabs>
          <w:tab w:val="left" w:pos="993"/>
          <w:tab w:val="left" w:pos="1134"/>
        </w:tabs>
        <w:jc w:val="both"/>
        <w:outlineLvl w:val="2"/>
        <w:rPr>
          <w:color w:val="000000"/>
          <w:szCs w:val="22"/>
        </w:rPr>
      </w:pPr>
      <w:r w:rsidRPr="00E47BF1">
        <w:rPr>
          <w:color w:val="000000"/>
          <w:szCs w:val="22"/>
        </w:rPr>
        <w:t>A company within the same group as the managing agent</w:t>
      </w:r>
    </w:p>
    <w:p w:rsidR="00062B53" w:rsidRPr="00E47BF1" w:rsidRDefault="00062B53" w:rsidP="00EF50F0">
      <w:pPr>
        <w:widowControl w:val="0"/>
        <w:numPr>
          <w:ilvl w:val="2"/>
          <w:numId w:val="15"/>
        </w:numPr>
        <w:tabs>
          <w:tab w:val="left" w:pos="993"/>
          <w:tab w:val="left" w:pos="1134"/>
        </w:tabs>
        <w:jc w:val="both"/>
        <w:outlineLvl w:val="2"/>
        <w:rPr>
          <w:color w:val="000000"/>
          <w:szCs w:val="22"/>
        </w:rPr>
      </w:pPr>
      <w:r w:rsidRPr="00E47BF1">
        <w:rPr>
          <w:color w:val="000000"/>
          <w:szCs w:val="22"/>
        </w:rPr>
        <w:t>A company within the same group as a corporate member of the syndicate which has a member’s syndicate premium limit of more than 10% of the syndicate allocated capacity</w:t>
      </w:r>
    </w:p>
    <w:p w:rsidR="00062B53" w:rsidRPr="00E47BF1" w:rsidRDefault="00062B53" w:rsidP="00EF50F0">
      <w:pPr>
        <w:widowControl w:val="0"/>
        <w:numPr>
          <w:ilvl w:val="2"/>
          <w:numId w:val="15"/>
        </w:numPr>
        <w:tabs>
          <w:tab w:val="left" w:pos="993"/>
          <w:tab w:val="left" w:pos="1134"/>
        </w:tabs>
        <w:jc w:val="both"/>
        <w:outlineLvl w:val="2"/>
        <w:rPr>
          <w:color w:val="000000"/>
          <w:szCs w:val="22"/>
        </w:rPr>
      </w:pPr>
      <w:r w:rsidRPr="00E47BF1">
        <w:rPr>
          <w:color w:val="000000"/>
          <w:szCs w:val="22"/>
        </w:rPr>
        <w:t>A company which has two or more directors in common with the managing agent</w:t>
      </w:r>
    </w:p>
    <w:p w:rsidR="00EB5959" w:rsidRPr="00E47BF1" w:rsidRDefault="00062B53" w:rsidP="00EF50F0">
      <w:pPr>
        <w:widowControl w:val="0"/>
        <w:numPr>
          <w:ilvl w:val="2"/>
          <w:numId w:val="15"/>
        </w:numPr>
        <w:tabs>
          <w:tab w:val="left" w:pos="993"/>
          <w:tab w:val="left" w:pos="1134"/>
        </w:tabs>
        <w:jc w:val="both"/>
        <w:outlineLvl w:val="2"/>
        <w:rPr>
          <w:color w:val="000000"/>
          <w:szCs w:val="22"/>
        </w:rPr>
      </w:pPr>
      <w:r w:rsidRPr="00E47BF1">
        <w:rPr>
          <w:color w:val="000000"/>
          <w:szCs w:val="22"/>
        </w:rPr>
        <w:t xml:space="preserve">Another syndicate managed by the same managing agent; </w:t>
      </w:r>
      <w:r w:rsidR="00773D82" w:rsidRPr="00E47BF1">
        <w:rPr>
          <w:color w:val="000000"/>
          <w:szCs w:val="22"/>
        </w:rPr>
        <w:t>this includes</w:t>
      </w:r>
      <w:r w:rsidRPr="00E47BF1">
        <w:rPr>
          <w:color w:val="000000"/>
          <w:szCs w:val="22"/>
        </w:rPr>
        <w:t xml:space="preserve"> </w:t>
      </w:r>
      <w:r w:rsidR="001235A3" w:rsidRPr="00E47BF1">
        <w:rPr>
          <w:color w:val="000000"/>
          <w:szCs w:val="22"/>
        </w:rPr>
        <w:t xml:space="preserve">quota share contracts with </w:t>
      </w:r>
      <w:r w:rsidR="000F5DFC" w:rsidRPr="00E47BF1">
        <w:rPr>
          <w:color w:val="000000"/>
          <w:szCs w:val="22"/>
        </w:rPr>
        <w:t>an SPA</w:t>
      </w:r>
      <w:r w:rsidRPr="00E47BF1">
        <w:rPr>
          <w:color w:val="000000"/>
          <w:szCs w:val="22"/>
        </w:rPr>
        <w:t xml:space="preserve"> </w:t>
      </w:r>
    </w:p>
    <w:p w:rsidR="0074393D" w:rsidRPr="00E47BF1" w:rsidRDefault="0074393D" w:rsidP="00EF50F0">
      <w:pPr>
        <w:widowControl w:val="0"/>
        <w:tabs>
          <w:tab w:val="left" w:pos="993"/>
          <w:tab w:val="left" w:pos="1134"/>
        </w:tabs>
        <w:ind w:left="1800"/>
        <w:jc w:val="both"/>
        <w:outlineLvl w:val="2"/>
        <w:rPr>
          <w:color w:val="000000"/>
          <w:szCs w:val="22"/>
        </w:rPr>
      </w:pP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rPr>
        <w:t xml:space="preserve">If the reinsurance contract is expected to have multiple reinsurers, only the portion of the estimated outwards reinsurance premium that is expected to be ceded to the Related Party should be included in this field. </w:t>
      </w:r>
    </w:p>
    <w:p w:rsidR="00062B53"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u w:val="single"/>
        </w:rPr>
        <w:t>***Non-</w:t>
      </w:r>
      <w:r w:rsidR="004B4B77" w:rsidRPr="00E47BF1">
        <w:rPr>
          <w:color w:val="000000"/>
          <w:szCs w:val="22"/>
          <w:u w:val="single"/>
        </w:rPr>
        <w:t>S</w:t>
      </w:r>
      <w:r w:rsidRPr="00E47BF1">
        <w:rPr>
          <w:color w:val="000000"/>
          <w:szCs w:val="22"/>
          <w:u w:val="single"/>
        </w:rPr>
        <w:t xml:space="preserve">tandard </w:t>
      </w:r>
      <w:r w:rsidR="004B4B77" w:rsidRPr="00E47BF1">
        <w:rPr>
          <w:color w:val="000000"/>
          <w:szCs w:val="22"/>
          <w:u w:val="single"/>
        </w:rPr>
        <w:t>R</w:t>
      </w:r>
      <w:r w:rsidRPr="00E47BF1">
        <w:rPr>
          <w:color w:val="000000"/>
          <w:szCs w:val="22"/>
          <w:u w:val="single"/>
        </w:rPr>
        <w:t>einsurance</w:t>
      </w:r>
      <w:r w:rsidRPr="00E47BF1">
        <w:rPr>
          <w:color w:val="000000"/>
          <w:szCs w:val="22"/>
        </w:rPr>
        <w:t xml:space="preserve"> being defined as: Any reinsurance contract or financial instrument which has been deemed as reinsurance by the managing agent but which is not directly based on the principle of indemnity or is based on a contract wording which has limited or no demonstrable risk transfer mechanism.</w:t>
      </w:r>
    </w:p>
    <w:p w:rsidR="00941277" w:rsidRPr="00E47BF1" w:rsidRDefault="00062B53" w:rsidP="00EF50F0">
      <w:pPr>
        <w:widowControl w:val="0"/>
        <w:tabs>
          <w:tab w:val="left" w:pos="993"/>
          <w:tab w:val="left" w:pos="1134"/>
        </w:tabs>
        <w:spacing w:after="160"/>
        <w:ind w:left="1134"/>
        <w:jc w:val="both"/>
        <w:outlineLvl w:val="2"/>
        <w:rPr>
          <w:color w:val="000000"/>
          <w:szCs w:val="22"/>
        </w:rPr>
      </w:pPr>
      <w:r w:rsidRPr="00E47BF1">
        <w:rPr>
          <w:color w:val="000000"/>
          <w:szCs w:val="22"/>
        </w:rPr>
        <w:t>Column N will automatically calculate the estimated Outwards Reinsurance Premium (CNV) being ceded under each category based on the % each cell of column M and the total Outwards Reinsurance Premiums (CNV) from column L / row 14.</w:t>
      </w:r>
    </w:p>
    <w:p w:rsidR="0074393D" w:rsidRPr="00E47BF1" w:rsidRDefault="0074393D" w:rsidP="0074393D">
      <w:pPr>
        <w:widowControl w:val="0"/>
        <w:tabs>
          <w:tab w:val="left" w:pos="1134"/>
        </w:tabs>
        <w:spacing w:after="160"/>
        <w:ind w:left="1134"/>
        <w:jc w:val="both"/>
        <w:outlineLvl w:val="2"/>
        <w:rPr>
          <w:color w:val="000000"/>
          <w:szCs w:val="22"/>
        </w:rPr>
      </w:pPr>
    </w:p>
    <w:p w:rsidR="00062B53" w:rsidRPr="00E47BF1" w:rsidRDefault="00F95489" w:rsidP="00C321B4">
      <w:pPr>
        <w:pStyle w:val="Heading2"/>
        <w:tabs>
          <w:tab w:val="num" w:pos="851"/>
          <w:tab w:val="num" w:pos="1134"/>
        </w:tabs>
        <w:rPr>
          <w:sz w:val="24"/>
          <w:szCs w:val="24"/>
        </w:rPr>
      </w:pPr>
      <w:r w:rsidRPr="00E47BF1">
        <w:rPr>
          <w:sz w:val="24"/>
          <w:szCs w:val="24"/>
        </w:rPr>
        <w:t xml:space="preserve"> </w:t>
      </w:r>
      <w:r w:rsidR="00061345" w:rsidRPr="00E47BF1">
        <w:rPr>
          <w:sz w:val="24"/>
          <w:szCs w:val="24"/>
        </w:rPr>
        <w:t xml:space="preserve">  </w:t>
      </w:r>
      <w:r w:rsidRPr="00E47BF1">
        <w:rPr>
          <w:sz w:val="24"/>
          <w:szCs w:val="24"/>
        </w:rPr>
        <w:t xml:space="preserve"> </w:t>
      </w:r>
      <w:r w:rsidR="00062B53" w:rsidRPr="00E47BF1">
        <w:rPr>
          <w:sz w:val="24"/>
          <w:szCs w:val="24"/>
        </w:rPr>
        <w:t>Reinsurance Strategy / Plan</w:t>
      </w:r>
    </w:p>
    <w:p w:rsidR="00062B53" w:rsidRPr="00E47BF1" w:rsidRDefault="00062B53" w:rsidP="00C321B4">
      <w:pPr>
        <w:pStyle w:val="Heading3"/>
        <w:tabs>
          <w:tab w:val="clear" w:pos="851"/>
          <w:tab w:val="num" w:pos="1134"/>
        </w:tabs>
        <w:ind w:left="1134" w:hanging="1134"/>
      </w:pPr>
      <w:r w:rsidRPr="00E47BF1">
        <w:t xml:space="preserve">As per item </w:t>
      </w:r>
      <w:r w:rsidR="00120197">
        <w:t>19</w:t>
      </w:r>
      <w:r w:rsidRPr="00E47BF1">
        <w:t xml:space="preserve">.4 a summary of the syndicate’s reinsurance strategy and purchasing plan for the prospective year should be supplied as an attachment within form 990.   </w:t>
      </w:r>
    </w:p>
    <w:p w:rsidR="00F52A42" w:rsidRPr="00EA4E25" w:rsidRDefault="00F52A42" w:rsidP="00F52A42">
      <w:pPr>
        <w:pStyle w:val="Heading3"/>
        <w:numPr>
          <w:ilvl w:val="0"/>
          <w:numId w:val="0"/>
        </w:numPr>
        <w:tabs>
          <w:tab w:val="clear" w:pos="851"/>
        </w:tabs>
        <w:ind w:left="1134"/>
      </w:pPr>
    </w:p>
    <w:bookmarkEnd w:id="121"/>
    <w:bookmarkEnd w:id="122"/>
    <w:bookmarkEnd w:id="133"/>
    <w:bookmarkEnd w:id="134"/>
    <w:bookmarkEnd w:id="135"/>
    <w:p w:rsidR="00215DF2" w:rsidRPr="00EA4E25" w:rsidRDefault="007D43E6" w:rsidP="00B00609">
      <w:pPr>
        <w:pStyle w:val="Heading2"/>
        <w:numPr>
          <w:ilvl w:val="0"/>
          <w:numId w:val="0"/>
        </w:numPr>
        <w:ind w:left="1134" w:hanging="1134"/>
        <w:rPr>
          <w:sz w:val="30"/>
          <w:szCs w:val="30"/>
        </w:rPr>
      </w:pPr>
      <w:r>
        <w:rPr>
          <w:sz w:val="30"/>
          <w:szCs w:val="30"/>
        </w:rPr>
        <w:t>19</w:t>
      </w:r>
      <w:r w:rsidR="00F95489" w:rsidRPr="00EA4E25">
        <w:rPr>
          <w:sz w:val="30"/>
          <w:szCs w:val="30"/>
        </w:rPr>
        <w:t xml:space="preserve">          </w:t>
      </w:r>
      <w:bookmarkStart w:id="136" w:name="_Toc89825923"/>
      <w:bookmarkStart w:id="137" w:name="_Toc89826877"/>
      <w:bookmarkStart w:id="138" w:name="_Toc95271080"/>
      <w:bookmarkStart w:id="139" w:name="_Ref130196622"/>
      <w:bookmarkStart w:id="140" w:name="_Toc264275416"/>
      <w:r w:rsidR="00DE45F0" w:rsidRPr="00EA4E25">
        <w:rPr>
          <w:sz w:val="30"/>
          <w:szCs w:val="30"/>
        </w:rPr>
        <w:t>S</w:t>
      </w:r>
      <w:r w:rsidR="00CC42C9" w:rsidRPr="00EA4E25">
        <w:rPr>
          <w:sz w:val="30"/>
          <w:szCs w:val="30"/>
        </w:rPr>
        <w:t xml:space="preserve">BF990 </w:t>
      </w:r>
      <w:bookmarkEnd w:id="136"/>
      <w:bookmarkEnd w:id="137"/>
      <w:bookmarkEnd w:id="138"/>
      <w:bookmarkEnd w:id="139"/>
      <w:r w:rsidR="00645D97" w:rsidRPr="00EA4E25">
        <w:rPr>
          <w:sz w:val="30"/>
          <w:szCs w:val="30"/>
        </w:rPr>
        <w:t>REQUIRED ADDITIONAL INFORMATION</w:t>
      </w:r>
      <w:bookmarkEnd w:id="140"/>
      <w:r w:rsidR="00970B7C" w:rsidRPr="00EA4E25">
        <w:rPr>
          <w:sz w:val="30"/>
          <w:szCs w:val="30"/>
        </w:rPr>
        <w:t xml:space="preserve"> </w:t>
      </w:r>
      <w:r w:rsidR="00215DF2" w:rsidRPr="00EA4E25">
        <w:rPr>
          <w:sz w:val="30"/>
          <w:szCs w:val="30"/>
        </w:rPr>
        <w:t>Summary</w:t>
      </w:r>
    </w:p>
    <w:p w:rsidR="00F52A42" w:rsidRPr="00EA4E25" w:rsidRDefault="00F52A42" w:rsidP="00F52A42"/>
    <w:p w:rsidR="00215DF2" w:rsidRPr="00EA4E25" w:rsidRDefault="007D43E6" w:rsidP="00C321B4">
      <w:pPr>
        <w:pStyle w:val="Heading3"/>
        <w:numPr>
          <w:ilvl w:val="0"/>
          <w:numId w:val="0"/>
        </w:numPr>
        <w:tabs>
          <w:tab w:val="clear" w:pos="851"/>
        </w:tabs>
        <w:ind w:left="1134" w:hanging="1134"/>
      </w:pPr>
      <w:r w:rsidRPr="00235165">
        <w:rPr>
          <w:b/>
          <w:sz w:val="24"/>
        </w:rPr>
        <w:t>19</w:t>
      </w:r>
      <w:r w:rsidR="00B00609" w:rsidRPr="00235165">
        <w:rPr>
          <w:b/>
          <w:sz w:val="24"/>
        </w:rPr>
        <w:t>.1</w:t>
      </w:r>
      <w:r w:rsidR="00B00609" w:rsidRPr="00235165">
        <w:rPr>
          <w:sz w:val="24"/>
        </w:rPr>
        <w:t xml:space="preserve">     </w:t>
      </w:r>
      <w:r w:rsidR="00C321B4" w:rsidRPr="00EA4E25">
        <w:tab/>
      </w:r>
      <w:r w:rsidR="00215DF2" w:rsidRPr="00EA4E25">
        <w:t xml:space="preserve">Along with the comments provided in the relevant sections, please include any commentary you have </w:t>
      </w:r>
      <w:r w:rsidR="00773D82" w:rsidRPr="00EA4E25">
        <w:t>regarding</w:t>
      </w:r>
      <w:r w:rsidR="00215DF2" w:rsidRPr="00EA4E25">
        <w:t xml:space="preserve"> any part of the SBF</w:t>
      </w:r>
      <w:r w:rsidR="00DE2E85" w:rsidRPr="00EA4E25">
        <w:t xml:space="preserve"> </w:t>
      </w:r>
      <w:r w:rsidR="00DE2E85" w:rsidRPr="00EA4E25">
        <w:rPr>
          <w:color w:val="auto"/>
        </w:rPr>
        <w:t>Return</w:t>
      </w:r>
      <w:r w:rsidR="00215DF2" w:rsidRPr="00EA4E25">
        <w:t xml:space="preserve">. You may use more than one entry per section if required. </w:t>
      </w:r>
    </w:p>
    <w:p w:rsidR="00B00609" w:rsidRPr="00EA4E25" w:rsidRDefault="00B00609" w:rsidP="00B00609">
      <w:pPr>
        <w:pStyle w:val="ListParagraph"/>
        <w:keepNext/>
        <w:widowControl w:val="0"/>
        <w:numPr>
          <w:ilvl w:val="0"/>
          <w:numId w:val="6"/>
        </w:numPr>
        <w:spacing w:after="300"/>
        <w:outlineLvl w:val="0"/>
        <w:rPr>
          <w:b/>
          <w:vanish/>
          <w:color w:val="000000"/>
          <w:sz w:val="30"/>
        </w:rPr>
      </w:pPr>
      <w:bookmarkStart w:id="141" w:name="_Toc452126185"/>
      <w:bookmarkStart w:id="142" w:name="_Toc89826879"/>
      <w:bookmarkStart w:id="143" w:name="_Ref95732212"/>
      <w:bookmarkEnd w:id="141"/>
    </w:p>
    <w:p w:rsidR="00B00609" w:rsidRPr="00EA4E25" w:rsidRDefault="00B00609" w:rsidP="00B00609">
      <w:pPr>
        <w:pStyle w:val="ListParagraph"/>
        <w:keepNext/>
        <w:widowControl w:val="0"/>
        <w:numPr>
          <w:ilvl w:val="1"/>
          <w:numId w:val="6"/>
        </w:numPr>
        <w:spacing w:after="260"/>
        <w:outlineLvl w:val="1"/>
        <w:rPr>
          <w:b/>
          <w:vanish/>
          <w:color w:val="000000"/>
          <w:sz w:val="26"/>
        </w:rPr>
      </w:pPr>
    </w:p>
    <w:p w:rsidR="00215DF2" w:rsidRPr="00EA4E25" w:rsidRDefault="00F95489" w:rsidP="00BF5660">
      <w:pPr>
        <w:pStyle w:val="Heading2"/>
        <w:tabs>
          <w:tab w:val="num" w:pos="567"/>
          <w:tab w:val="num" w:pos="851"/>
        </w:tabs>
        <w:rPr>
          <w:sz w:val="24"/>
          <w:szCs w:val="24"/>
        </w:rPr>
      </w:pPr>
      <w:r w:rsidRPr="00EA4E25">
        <w:rPr>
          <w:sz w:val="24"/>
          <w:szCs w:val="24"/>
        </w:rPr>
        <w:t xml:space="preserve">    </w:t>
      </w:r>
      <w:r w:rsidR="00061345" w:rsidRPr="00EA4E25">
        <w:rPr>
          <w:sz w:val="24"/>
          <w:szCs w:val="24"/>
        </w:rPr>
        <w:t xml:space="preserve">    </w:t>
      </w:r>
      <w:r w:rsidR="00215DF2" w:rsidRPr="00EA4E25">
        <w:rPr>
          <w:sz w:val="24"/>
          <w:szCs w:val="24"/>
        </w:rPr>
        <w:t>Additional Submissions</w:t>
      </w:r>
      <w:bookmarkEnd w:id="142"/>
      <w:bookmarkEnd w:id="143"/>
    </w:p>
    <w:p w:rsidR="00062B53" w:rsidRPr="00EA4E25" w:rsidRDefault="00062B53" w:rsidP="0072651E">
      <w:pPr>
        <w:pStyle w:val="Heading3"/>
        <w:tabs>
          <w:tab w:val="clear" w:pos="851"/>
          <w:tab w:val="left" w:pos="1134"/>
        </w:tabs>
        <w:ind w:left="1134" w:hanging="1134"/>
      </w:pPr>
      <w:r w:rsidRPr="00EA4E25">
        <w:t>Managing agents must provide additional submissions as per specific guidance provided below for</w:t>
      </w:r>
    </w:p>
    <w:p w:rsidR="002B3434" w:rsidRPr="00EA4E25" w:rsidRDefault="00E1550E" w:rsidP="00BF5660">
      <w:pPr>
        <w:numPr>
          <w:ilvl w:val="0"/>
          <w:numId w:val="31"/>
        </w:numPr>
        <w:tabs>
          <w:tab w:val="left" w:pos="1418"/>
        </w:tabs>
        <w:spacing w:after="120"/>
        <w:ind w:left="1418"/>
        <w:jc w:val="both"/>
        <w:rPr>
          <w:rFonts w:cs="Arial"/>
          <w:szCs w:val="22"/>
        </w:rPr>
      </w:pPr>
      <w:r w:rsidRPr="00EA4E25">
        <w:rPr>
          <w:rFonts w:cs="Arial"/>
          <w:szCs w:val="22"/>
        </w:rPr>
        <w:t>Business plan narrative for the syndicate</w:t>
      </w:r>
      <w:r w:rsidR="00251240" w:rsidRPr="00EA4E25">
        <w:rPr>
          <w:rFonts w:cs="Arial"/>
          <w:szCs w:val="22"/>
        </w:rPr>
        <w:t xml:space="preserve"> organisational charts, portfolio composition, market environment</w:t>
      </w:r>
      <w:r w:rsidR="00993AB9" w:rsidRPr="00EA4E25">
        <w:rPr>
          <w:rFonts w:cs="Arial"/>
          <w:szCs w:val="22"/>
        </w:rPr>
        <w:t>,</w:t>
      </w:r>
      <w:r w:rsidR="00251240" w:rsidRPr="00EA4E25">
        <w:rPr>
          <w:rFonts w:cs="Arial"/>
          <w:szCs w:val="22"/>
        </w:rPr>
        <w:t xml:space="preserve"> underwriting strategy</w:t>
      </w:r>
      <w:r w:rsidR="00993AB9" w:rsidRPr="00EA4E25">
        <w:rPr>
          <w:rFonts w:cs="Arial"/>
          <w:szCs w:val="22"/>
        </w:rPr>
        <w:t xml:space="preserve"> and any p</w:t>
      </w:r>
      <w:r w:rsidR="00251240" w:rsidRPr="00EA4E25">
        <w:rPr>
          <w:rFonts w:cs="Arial"/>
          <w:szCs w:val="22"/>
        </w:rPr>
        <w:t>roposed new classes of business or products lines.</w:t>
      </w:r>
    </w:p>
    <w:p w:rsidR="00B45258" w:rsidRPr="00EA4E25" w:rsidRDefault="00B45258" w:rsidP="00BF5660">
      <w:pPr>
        <w:numPr>
          <w:ilvl w:val="0"/>
          <w:numId w:val="31"/>
        </w:numPr>
        <w:tabs>
          <w:tab w:val="left" w:pos="1418"/>
        </w:tabs>
        <w:spacing w:after="120"/>
        <w:ind w:left="1418"/>
        <w:jc w:val="both"/>
        <w:rPr>
          <w:rFonts w:cs="Arial"/>
          <w:szCs w:val="22"/>
        </w:rPr>
      </w:pPr>
      <w:r w:rsidRPr="00EA4E25">
        <w:rPr>
          <w:rFonts w:cs="Arial"/>
          <w:szCs w:val="22"/>
        </w:rPr>
        <w:t>Portfolio Remediations</w:t>
      </w:r>
    </w:p>
    <w:p w:rsidR="00BF5660" w:rsidRPr="00EA4E25" w:rsidRDefault="00251240" w:rsidP="00BF5660">
      <w:pPr>
        <w:numPr>
          <w:ilvl w:val="0"/>
          <w:numId w:val="31"/>
        </w:numPr>
        <w:tabs>
          <w:tab w:val="left" w:pos="1418"/>
        </w:tabs>
        <w:spacing w:after="120"/>
        <w:ind w:left="1418"/>
        <w:jc w:val="both"/>
        <w:rPr>
          <w:rFonts w:cs="Arial"/>
          <w:szCs w:val="22"/>
        </w:rPr>
      </w:pPr>
      <w:r w:rsidRPr="00EA4E25">
        <w:rPr>
          <w:rFonts w:cs="Arial"/>
          <w:szCs w:val="22"/>
        </w:rPr>
        <w:t>Business plan narrative for the syndicate</w:t>
      </w:r>
      <w:r w:rsidR="005E392F" w:rsidRPr="00EA4E25">
        <w:rPr>
          <w:rFonts w:cs="Arial"/>
          <w:szCs w:val="22"/>
        </w:rPr>
        <w:t>s</w:t>
      </w:r>
      <w:r w:rsidRPr="00EA4E25">
        <w:rPr>
          <w:rFonts w:cs="Arial"/>
          <w:szCs w:val="22"/>
        </w:rPr>
        <w:t xml:space="preserve">’ </w:t>
      </w:r>
      <w:r w:rsidR="00E1550E" w:rsidRPr="00EA4E25">
        <w:rPr>
          <w:rFonts w:cs="Arial"/>
          <w:szCs w:val="22"/>
        </w:rPr>
        <w:t>service companies</w:t>
      </w:r>
      <w:r w:rsidR="005E392F" w:rsidRPr="00EA4E25">
        <w:rPr>
          <w:rFonts w:cs="Arial"/>
          <w:szCs w:val="22"/>
        </w:rPr>
        <w:t>.</w:t>
      </w:r>
    </w:p>
    <w:p w:rsidR="00BF5660" w:rsidRPr="00EA4E25" w:rsidRDefault="00215DF2" w:rsidP="00BF5660">
      <w:pPr>
        <w:numPr>
          <w:ilvl w:val="0"/>
          <w:numId w:val="31"/>
        </w:numPr>
        <w:tabs>
          <w:tab w:val="left" w:pos="1418"/>
        </w:tabs>
        <w:spacing w:after="120"/>
        <w:ind w:left="1418"/>
        <w:jc w:val="both"/>
        <w:rPr>
          <w:rFonts w:cs="Arial"/>
          <w:szCs w:val="22"/>
        </w:rPr>
      </w:pPr>
      <w:r w:rsidRPr="00EA4E25">
        <w:rPr>
          <w:rFonts w:cs="Arial"/>
          <w:szCs w:val="22"/>
        </w:rPr>
        <w:t>Business plan assumptions</w:t>
      </w:r>
      <w:r w:rsidR="005E392F" w:rsidRPr="00EA4E25">
        <w:rPr>
          <w:rFonts w:cs="Arial"/>
          <w:szCs w:val="22"/>
        </w:rPr>
        <w:t>.</w:t>
      </w:r>
    </w:p>
    <w:p w:rsidR="00BF5660" w:rsidRPr="00EA4E25" w:rsidRDefault="00616402" w:rsidP="00BF5660">
      <w:pPr>
        <w:numPr>
          <w:ilvl w:val="0"/>
          <w:numId w:val="31"/>
        </w:numPr>
        <w:tabs>
          <w:tab w:val="left" w:pos="1418"/>
        </w:tabs>
        <w:spacing w:after="120"/>
        <w:ind w:left="1418"/>
        <w:jc w:val="both"/>
        <w:rPr>
          <w:rFonts w:cs="Arial"/>
          <w:szCs w:val="22"/>
        </w:rPr>
      </w:pPr>
      <w:r w:rsidRPr="00EA4E25">
        <w:rPr>
          <w:rFonts w:cs="Arial"/>
          <w:szCs w:val="22"/>
        </w:rPr>
        <w:t>Reinsurance strategy and</w:t>
      </w:r>
      <w:r w:rsidR="0075403C" w:rsidRPr="00EA4E25">
        <w:rPr>
          <w:rFonts w:cs="Arial"/>
          <w:szCs w:val="22"/>
        </w:rPr>
        <w:t xml:space="preserve"> </w:t>
      </w:r>
      <w:r w:rsidR="004B4B77" w:rsidRPr="00EA4E25">
        <w:rPr>
          <w:rFonts w:cs="Arial"/>
          <w:szCs w:val="22"/>
        </w:rPr>
        <w:t xml:space="preserve">purchasing </w:t>
      </w:r>
      <w:r w:rsidRPr="00EA4E25">
        <w:rPr>
          <w:rFonts w:cs="Arial"/>
          <w:szCs w:val="22"/>
        </w:rPr>
        <w:t>plan details</w:t>
      </w:r>
      <w:r w:rsidR="004B4B77" w:rsidRPr="00EA4E25">
        <w:rPr>
          <w:rFonts w:cs="Arial"/>
          <w:szCs w:val="22"/>
        </w:rPr>
        <w:t>.</w:t>
      </w:r>
    </w:p>
    <w:p w:rsidR="00BF5660" w:rsidRPr="00EA4E25" w:rsidRDefault="00EB2EEF" w:rsidP="00BF5660">
      <w:pPr>
        <w:numPr>
          <w:ilvl w:val="0"/>
          <w:numId w:val="31"/>
        </w:numPr>
        <w:tabs>
          <w:tab w:val="left" w:pos="1418"/>
        </w:tabs>
        <w:spacing w:after="120"/>
        <w:ind w:left="1418"/>
        <w:jc w:val="both"/>
        <w:rPr>
          <w:rFonts w:cs="Arial"/>
          <w:szCs w:val="22"/>
        </w:rPr>
      </w:pPr>
      <w:r w:rsidRPr="00EA4E25">
        <w:rPr>
          <w:rFonts w:cs="Arial"/>
          <w:szCs w:val="22"/>
        </w:rPr>
        <w:t>Franchise Guideline Dispensations</w:t>
      </w:r>
      <w:r w:rsidR="00434D31" w:rsidRPr="00EA4E25">
        <w:rPr>
          <w:rFonts w:cs="Arial"/>
          <w:szCs w:val="22"/>
        </w:rPr>
        <w:t>.</w:t>
      </w:r>
    </w:p>
    <w:p w:rsidR="00BF5660" w:rsidRPr="00EA4E25" w:rsidRDefault="00215DF2" w:rsidP="00BF5660">
      <w:pPr>
        <w:numPr>
          <w:ilvl w:val="0"/>
          <w:numId w:val="31"/>
        </w:numPr>
        <w:tabs>
          <w:tab w:val="left" w:pos="1418"/>
        </w:tabs>
        <w:spacing w:after="120"/>
        <w:ind w:left="1418"/>
        <w:jc w:val="both"/>
        <w:rPr>
          <w:rFonts w:cs="Arial"/>
          <w:szCs w:val="22"/>
        </w:rPr>
      </w:pPr>
      <w:r w:rsidRPr="00EA4E25">
        <w:rPr>
          <w:rFonts w:cs="Arial"/>
          <w:szCs w:val="22"/>
        </w:rPr>
        <w:t>Related Parties Transaction</w:t>
      </w:r>
      <w:r w:rsidR="00C50FB2" w:rsidRPr="00EA4E25">
        <w:rPr>
          <w:rFonts w:cs="Arial"/>
          <w:szCs w:val="22"/>
        </w:rPr>
        <w:t>, where the information is already available.</w:t>
      </w:r>
    </w:p>
    <w:p w:rsidR="00BF5660" w:rsidRPr="00EA4E25" w:rsidRDefault="00215DF2" w:rsidP="00BF5660">
      <w:pPr>
        <w:numPr>
          <w:ilvl w:val="0"/>
          <w:numId w:val="31"/>
        </w:numPr>
        <w:tabs>
          <w:tab w:val="left" w:pos="1418"/>
        </w:tabs>
        <w:spacing w:after="120"/>
        <w:ind w:left="1418"/>
        <w:jc w:val="both"/>
        <w:rPr>
          <w:rFonts w:cs="Arial"/>
          <w:szCs w:val="22"/>
        </w:rPr>
      </w:pPr>
      <w:r w:rsidRPr="00EA4E25">
        <w:rPr>
          <w:rFonts w:cs="Arial"/>
          <w:szCs w:val="22"/>
        </w:rPr>
        <w:t>Peer Review</w:t>
      </w:r>
      <w:r w:rsidR="00434D31" w:rsidRPr="00EA4E25">
        <w:rPr>
          <w:rFonts w:cs="Arial"/>
          <w:szCs w:val="22"/>
        </w:rPr>
        <w:t xml:space="preserve"> processes and underwriting authorities / controls.</w:t>
      </w:r>
    </w:p>
    <w:p w:rsidR="00BF5660" w:rsidRPr="00EA4E25" w:rsidRDefault="0028351B" w:rsidP="00BF5660">
      <w:pPr>
        <w:numPr>
          <w:ilvl w:val="0"/>
          <w:numId w:val="31"/>
        </w:numPr>
        <w:tabs>
          <w:tab w:val="left" w:pos="1418"/>
        </w:tabs>
        <w:spacing w:after="120"/>
        <w:ind w:left="1418"/>
        <w:jc w:val="both"/>
        <w:rPr>
          <w:rFonts w:cs="Arial"/>
          <w:szCs w:val="22"/>
        </w:rPr>
      </w:pPr>
      <w:r w:rsidRPr="00EA4E25">
        <w:rPr>
          <w:rFonts w:cs="Arial"/>
          <w:szCs w:val="22"/>
        </w:rPr>
        <w:t>Lloyd’s Minimum Underwriting Standards</w:t>
      </w:r>
      <w:r w:rsidR="00434D31" w:rsidRPr="00EA4E25">
        <w:rPr>
          <w:rFonts w:cs="Arial"/>
          <w:szCs w:val="22"/>
        </w:rPr>
        <w:t>.</w:t>
      </w:r>
    </w:p>
    <w:p w:rsidR="00BF5660" w:rsidRPr="00EA4E25" w:rsidRDefault="00C25C7E" w:rsidP="00BF5660">
      <w:pPr>
        <w:numPr>
          <w:ilvl w:val="0"/>
          <w:numId w:val="31"/>
        </w:numPr>
        <w:tabs>
          <w:tab w:val="left" w:pos="1418"/>
        </w:tabs>
        <w:spacing w:after="120"/>
        <w:ind w:left="1418"/>
        <w:jc w:val="both"/>
        <w:rPr>
          <w:rFonts w:cs="Arial"/>
          <w:szCs w:val="22"/>
        </w:rPr>
      </w:pPr>
      <w:r w:rsidRPr="00EA4E25">
        <w:rPr>
          <w:rFonts w:cs="Arial"/>
          <w:szCs w:val="22"/>
        </w:rPr>
        <w:t>Claims annual business plan (as referenced in Lloyd’s Claims Management Principles and Minimum Standards).</w:t>
      </w:r>
    </w:p>
    <w:p w:rsidR="00BF5660" w:rsidRPr="00EA4E25" w:rsidRDefault="00627D52" w:rsidP="00BF5660">
      <w:pPr>
        <w:numPr>
          <w:ilvl w:val="0"/>
          <w:numId w:val="31"/>
        </w:numPr>
        <w:tabs>
          <w:tab w:val="left" w:pos="1418"/>
        </w:tabs>
        <w:spacing w:after="120"/>
        <w:ind w:left="1418"/>
        <w:jc w:val="both"/>
        <w:rPr>
          <w:rFonts w:cs="Arial"/>
          <w:szCs w:val="22"/>
        </w:rPr>
      </w:pPr>
      <w:r w:rsidRPr="00EA4E25">
        <w:rPr>
          <w:rFonts w:cs="Arial"/>
          <w:szCs w:val="22"/>
        </w:rPr>
        <w:t>Multiple Platforms</w:t>
      </w:r>
      <w:r w:rsidR="00434D31" w:rsidRPr="00EA4E25">
        <w:rPr>
          <w:rFonts w:cs="Arial"/>
          <w:szCs w:val="22"/>
        </w:rPr>
        <w:t>.</w:t>
      </w:r>
    </w:p>
    <w:p w:rsidR="00BF5660" w:rsidRPr="00EA4E25" w:rsidRDefault="00E31F23" w:rsidP="00BF5660">
      <w:pPr>
        <w:numPr>
          <w:ilvl w:val="0"/>
          <w:numId w:val="31"/>
        </w:numPr>
        <w:tabs>
          <w:tab w:val="left" w:pos="1418"/>
        </w:tabs>
        <w:spacing w:after="120"/>
        <w:ind w:left="1418"/>
        <w:jc w:val="both"/>
        <w:rPr>
          <w:rFonts w:cs="Arial"/>
          <w:szCs w:val="22"/>
        </w:rPr>
      </w:pPr>
      <w:r w:rsidRPr="00EA4E25">
        <w:rPr>
          <w:rFonts w:cs="Arial"/>
          <w:szCs w:val="22"/>
        </w:rPr>
        <w:t xml:space="preserve"> </w:t>
      </w:r>
      <w:r w:rsidR="00A054F0" w:rsidRPr="00EA4E25">
        <w:rPr>
          <w:rFonts w:cs="Arial"/>
          <w:szCs w:val="22"/>
        </w:rPr>
        <w:t>Line size utilisation.</w:t>
      </w:r>
    </w:p>
    <w:p w:rsidR="00BF5660" w:rsidRPr="00EA4E25" w:rsidRDefault="00627D52" w:rsidP="00BF5660">
      <w:pPr>
        <w:numPr>
          <w:ilvl w:val="0"/>
          <w:numId w:val="31"/>
        </w:numPr>
        <w:tabs>
          <w:tab w:val="left" w:pos="1418"/>
        </w:tabs>
        <w:spacing w:after="120"/>
        <w:ind w:left="1418"/>
        <w:jc w:val="both"/>
        <w:rPr>
          <w:rFonts w:cs="Arial"/>
          <w:szCs w:val="22"/>
        </w:rPr>
      </w:pPr>
      <w:r w:rsidRPr="00EA4E25">
        <w:rPr>
          <w:rFonts w:cs="Arial"/>
          <w:szCs w:val="22"/>
        </w:rPr>
        <w:t xml:space="preserve">Overseas </w:t>
      </w:r>
      <w:r w:rsidR="00A65DC5" w:rsidRPr="00EA4E25">
        <w:rPr>
          <w:rFonts w:cs="Arial"/>
          <w:szCs w:val="22"/>
        </w:rPr>
        <w:t>distribution channels</w:t>
      </w:r>
      <w:r w:rsidR="00EC2EA9" w:rsidRPr="00EA4E25">
        <w:rPr>
          <w:rFonts w:cs="Arial"/>
          <w:szCs w:val="22"/>
        </w:rPr>
        <w:t xml:space="preserve">, including mandatory information for Lloyd’s China </w:t>
      </w:r>
      <w:r w:rsidR="00997DB2" w:rsidRPr="00EA4E25">
        <w:rPr>
          <w:rFonts w:cs="Arial"/>
          <w:szCs w:val="22"/>
        </w:rPr>
        <w:t xml:space="preserve">Direct </w:t>
      </w:r>
      <w:r w:rsidR="00EC2EA9" w:rsidRPr="00EA4E25">
        <w:rPr>
          <w:rFonts w:cs="Arial"/>
          <w:szCs w:val="22"/>
        </w:rPr>
        <w:t>(regulatory requirements</w:t>
      </w:r>
      <w:r w:rsidR="00A65DC5" w:rsidRPr="00EA4E25">
        <w:rPr>
          <w:rFonts w:cs="Arial"/>
          <w:szCs w:val="22"/>
        </w:rPr>
        <w:t xml:space="preserve"> – further detail in section 2</w:t>
      </w:r>
      <w:r w:rsidR="00120197">
        <w:rPr>
          <w:rFonts w:cs="Arial"/>
          <w:szCs w:val="22"/>
        </w:rPr>
        <w:t>0</w:t>
      </w:r>
      <w:r w:rsidR="00A65DC5" w:rsidRPr="00EA4E25">
        <w:rPr>
          <w:rFonts w:cs="Arial"/>
          <w:szCs w:val="22"/>
        </w:rPr>
        <w:t>.6</w:t>
      </w:r>
      <w:r w:rsidR="00EA3469">
        <w:rPr>
          <w:rFonts w:cs="Arial"/>
          <w:szCs w:val="22"/>
        </w:rPr>
        <w:t>.2</w:t>
      </w:r>
      <w:r w:rsidR="00684F4C" w:rsidRPr="00EA4E25">
        <w:rPr>
          <w:rFonts w:cs="Arial"/>
          <w:szCs w:val="22"/>
        </w:rPr>
        <w:t>) and Europe (further detail in section 2</w:t>
      </w:r>
      <w:r w:rsidR="00120197">
        <w:rPr>
          <w:rFonts w:cs="Arial"/>
          <w:szCs w:val="22"/>
        </w:rPr>
        <w:t>0</w:t>
      </w:r>
      <w:r w:rsidR="00684F4C" w:rsidRPr="00EA4E25">
        <w:rPr>
          <w:rFonts w:cs="Arial"/>
          <w:szCs w:val="22"/>
        </w:rPr>
        <w:t>.6</w:t>
      </w:r>
      <w:r w:rsidR="00EA3469">
        <w:rPr>
          <w:rFonts w:cs="Arial"/>
          <w:szCs w:val="22"/>
        </w:rPr>
        <w:t>.3</w:t>
      </w:r>
      <w:r w:rsidR="00684F4C" w:rsidRPr="00EA4E25">
        <w:rPr>
          <w:rFonts w:cs="Arial"/>
          <w:szCs w:val="22"/>
        </w:rPr>
        <w:t>).</w:t>
      </w:r>
    </w:p>
    <w:p w:rsidR="00735FF0" w:rsidRPr="00EA4E25" w:rsidRDefault="00735FF0" w:rsidP="00BF5660">
      <w:pPr>
        <w:numPr>
          <w:ilvl w:val="0"/>
          <w:numId w:val="31"/>
        </w:numPr>
        <w:tabs>
          <w:tab w:val="left" w:pos="1418"/>
        </w:tabs>
        <w:spacing w:after="120"/>
        <w:ind w:left="1418"/>
        <w:jc w:val="both"/>
        <w:rPr>
          <w:rFonts w:cs="Arial"/>
          <w:szCs w:val="22"/>
        </w:rPr>
      </w:pPr>
      <w:r w:rsidRPr="00EA4E25">
        <w:rPr>
          <w:rFonts w:cs="Arial"/>
          <w:szCs w:val="22"/>
        </w:rPr>
        <w:t>For European businesses refer to section 8.1.1.</w:t>
      </w:r>
    </w:p>
    <w:p w:rsidR="00BF5660" w:rsidRPr="00EA4E25" w:rsidRDefault="008258A7" w:rsidP="00BF5660">
      <w:pPr>
        <w:numPr>
          <w:ilvl w:val="0"/>
          <w:numId w:val="31"/>
        </w:numPr>
        <w:tabs>
          <w:tab w:val="left" w:pos="1418"/>
        </w:tabs>
        <w:spacing w:after="120"/>
        <w:ind w:left="1418"/>
        <w:jc w:val="both"/>
        <w:rPr>
          <w:rFonts w:cs="Arial"/>
          <w:szCs w:val="22"/>
        </w:rPr>
      </w:pPr>
      <w:r w:rsidRPr="00EA4E25">
        <w:rPr>
          <w:rFonts w:cs="Arial"/>
          <w:szCs w:val="22"/>
        </w:rPr>
        <w:t>Multiyear policies</w:t>
      </w:r>
      <w:r w:rsidR="00434D31" w:rsidRPr="00EA4E25">
        <w:rPr>
          <w:rFonts w:cs="Arial"/>
          <w:szCs w:val="22"/>
        </w:rPr>
        <w:t>.</w:t>
      </w:r>
    </w:p>
    <w:p w:rsidR="008D20C8" w:rsidRPr="00EA4E25" w:rsidRDefault="008D20C8" w:rsidP="00BF5660">
      <w:pPr>
        <w:numPr>
          <w:ilvl w:val="0"/>
          <w:numId w:val="31"/>
        </w:numPr>
        <w:tabs>
          <w:tab w:val="left" w:pos="1418"/>
        </w:tabs>
        <w:spacing w:after="120"/>
        <w:ind w:left="1418"/>
        <w:jc w:val="both"/>
        <w:rPr>
          <w:rFonts w:cs="Arial"/>
          <w:szCs w:val="22"/>
        </w:rPr>
      </w:pPr>
      <w:r w:rsidRPr="00EA4E25">
        <w:rPr>
          <w:szCs w:val="22"/>
        </w:rPr>
        <w:t xml:space="preserve">Managing agents are required to confirm if the mid to long term plan set out in their </w:t>
      </w:r>
      <w:r w:rsidR="00D6642D" w:rsidRPr="00EA4E25">
        <w:rPr>
          <w:szCs w:val="22"/>
        </w:rPr>
        <w:t>latest</w:t>
      </w:r>
      <w:r w:rsidRPr="00EA4E25">
        <w:rPr>
          <w:szCs w:val="22"/>
        </w:rPr>
        <w:t xml:space="preserve"> ORSA or any subsequent version submitted to address Lloyd’s feedback remains appropriate. This affirmation will form part of the final </w:t>
      </w:r>
      <w:r w:rsidR="00200921" w:rsidRPr="00EA4E25">
        <w:rPr>
          <w:szCs w:val="22"/>
        </w:rPr>
        <w:t>SBF Return</w:t>
      </w:r>
      <w:r w:rsidRPr="00EA4E25">
        <w:rPr>
          <w:szCs w:val="22"/>
        </w:rPr>
        <w:t xml:space="preserve"> in September and should be explicitly indicated in </w:t>
      </w:r>
      <w:r w:rsidR="00DE2E85" w:rsidRPr="00EA4E25">
        <w:rPr>
          <w:szCs w:val="22"/>
        </w:rPr>
        <w:t>f</w:t>
      </w:r>
      <w:r w:rsidRPr="00EA4E25">
        <w:rPr>
          <w:szCs w:val="22"/>
        </w:rPr>
        <w:t xml:space="preserve">orm </w:t>
      </w:r>
      <w:r w:rsidR="00DE2E85" w:rsidRPr="00EA4E25">
        <w:rPr>
          <w:szCs w:val="22"/>
        </w:rPr>
        <w:t>SBF</w:t>
      </w:r>
      <w:r w:rsidRPr="00EA4E25">
        <w:rPr>
          <w:szCs w:val="22"/>
        </w:rPr>
        <w:t xml:space="preserve">990 under the “add any return comments” section. </w:t>
      </w:r>
    </w:p>
    <w:p w:rsidR="001F6761" w:rsidRPr="00EA4E25" w:rsidRDefault="001F6761">
      <w:pPr>
        <w:tabs>
          <w:tab w:val="left" w:pos="1134"/>
        </w:tabs>
        <w:ind w:left="1134" w:hanging="360"/>
        <w:jc w:val="both"/>
        <w:rPr>
          <w:rFonts w:cs="Arial"/>
          <w:szCs w:val="22"/>
        </w:rPr>
      </w:pPr>
    </w:p>
    <w:p w:rsidR="005E6805" w:rsidRPr="00EA4E25" w:rsidRDefault="004B666B" w:rsidP="00235165">
      <w:pPr>
        <w:pStyle w:val="Heading3"/>
        <w:numPr>
          <w:ilvl w:val="0"/>
          <w:numId w:val="0"/>
        </w:numPr>
        <w:tabs>
          <w:tab w:val="clear" w:pos="851"/>
          <w:tab w:val="left" w:pos="1170"/>
        </w:tabs>
        <w:ind w:left="1134"/>
        <w:rPr>
          <w:u w:val="single"/>
        </w:rPr>
      </w:pPr>
      <w:r w:rsidRPr="00EA4E25">
        <w:rPr>
          <w:u w:val="single"/>
        </w:rPr>
        <w:t>Where new risk codes are being requested under historical classes of business, this should be made clear in the required additional information in section 990.</w:t>
      </w:r>
    </w:p>
    <w:p w:rsidR="00215DF2" w:rsidRPr="00D63FE8" w:rsidRDefault="00215DF2">
      <w:pPr>
        <w:pStyle w:val="Heading3"/>
        <w:tabs>
          <w:tab w:val="clear" w:pos="851"/>
          <w:tab w:val="num" w:pos="1134"/>
        </w:tabs>
        <w:ind w:left="1134" w:hanging="1134"/>
      </w:pPr>
      <w:r w:rsidRPr="00EA4E25">
        <w:t xml:space="preserve">Submissions should be attached to the </w:t>
      </w:r>
      <w:r w:rsidR="00200921" w:rsidRPr="00EA4E25">
        <w:t>SBF Return</w:t>
      </w:r>
      <w:r w:rsidRPr="00EA4E25">
        <w:t xml:space="preserve"> using the software function provided. </w:t>
      </w:r>
      <w:r w:rsidR="00157BB1" w:rsidRPr="00EA4E25">
        <w:t>Managing a</w:t>
      </w:r>
      <w:r w:rsidR="008258A7" w:rsidRPr="00EA4E25">
        <w:t>gents are required to indicate, using the tick boxes provided</w:t>
      </w:r>
      <w:r w:rsidR="006A51BF" w:rsidRPr="00EA4E25">
        <w:t>,</w:t>
      </w:r>
      <w:r w:rsidR="008258A7" w:rsidRPr="00EA4E25">
        <w:t xml:space="preserve"> those which they have </w:t>
      </w:r>
      <w:r w:rsidR="008258A7" w:rsidRPr="00D63FE8">
        <w:t>submitted.</w:t>
      </w:r>
      <w:r w:rsidR="00626A2C" w:rsidRPr="00D63FE8">
        <w:t xml:space="preserve"> </w:t>
      </w:r>
      <w:r w:rsidRPr="00D63FE8">
        <w:t>Guidance with regard to the additional submissions is provided below.</w:t>
      </w:r>
      <w:bookmarkStart w:id="144" w:name="_Toc95271082"/>
    </w:p>
    <w:bookmarkEnd w:id="144"/>
    <w:p w:rsidR="00215DF2" w:rsidRPr="00D63FE8" w:rsidRDefault="00061345" w:rsidP="00235165">
      <w:pPr>
        <w:pStyle w:val="Heading2"/>
        <w:tabs>
          <w:tab w:val="clear" w:pos="360"/>
          <w:tab w:val="num" w:pos="709"/>
        </w:tabs>
        <w:ind w:left="851" w:hanging="851"/>
        <w:jc w:val="both"/>
        <w:rPr>
          <w:sz w:val="24"/>
          <w:szCs w:val="24"/>
        </w:rPr>
      </w:pPr>
      <w:r w:rsidRPr="00D63FE8">
        <w:rPr>
          <w:sz w:val="24"/>
          <w:szCs w:val="24"/>
        </w:rPr>
        <w:t xml:space="preserve">      </w:t>
      </w:r>
      <w:r w:rsidR="00215DF2" w:rsidRPr="00D63FE8">
        <w:rPr>
          <w:sz w:val="24"/>
          <w:szCs w:val="24"/>
        </w:rPr>
        <w:t>Business Plan Narrative</w:t>
      </w:r>
    </w:p>
    <w:p w:rsidR="00215DF2" w:rsidRPr="00D63FE8" w:rsidRDefault="00215DF2">
      <w:pPr>
        <w:pStyle w:val="Heading3"/>
        <w:tabs>
          <w:tab w:val="clear" w:pos="851"/>
          <w:tab w:val="num" w:pos="1134"/>
        </w:tabs>
        <w:ind w:left="1134" w:hanging="1134"/>
        <w:rPr>
          <w:rFonts w:cs="Arial"/>
        </w:rPr>
      </w:pPr>
      <w:r w:rsidRPr="00D63FE8">
        <w:t>Please give an organisation chart and explanatory narrative for the syndicate showing business lines and relevant underwriters.</w:t>
      </w:r>
      <w:r w:rsidR="00626A2C" w:rsidRPr="00D63FE8">
        <w:t xml:space="preserve"> </w:t>
      </w:r>
      <w:r w:rsidRPr="00D63FE8">
        <w:t>The diagram below gives one example.</w:t>
      </w:r>
      <w:r w:rsidR="00042572" w:rsidRPr="004219C1">
        <w:rPr>
          <w:noProof/>
          <w:lang w:eastAsia="en-GB"/>
        </w:rPr>
        <mc:AlternateContent>
          <mc:Choice Requires="wpc">
            <w:drawing>
              <wp:inline distT="0" distB="0" distL="0" distR="0" wp14:anchorId="1EE1CAA0" wp14:editId="57272661">
                <wp:extent cx="5667375" cy="2657475"/>
                <wp:effectExtent l="19050" t="19050" r="9525" b="9525"/>
                <wp:docPr id="2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333333"/>
                          </a:solidFill>
                          <a:prstDash val="solid"/>
                          <a:miter lim="800000"/>
                          <a:headEnd type="none" w="med" len="med"/>
                          <a:tailEnd type="none" w="med" len="med"/>
                        </a:ln>
                      </wpc:whole>
                      <wps:wsp>
                        <wps:cNvPr id="1" name="Rectangle 4"/>
                        <wps:cNvSpPr>
                          <a:spLocks noChangeArrowheads="1"/>
                        </wps:cNvSpPr>
                        <wps:spPr bwMode="auto">
                          <a:xfrm>
                            <a:off x="1779074" y="0"/>
                            <a:ext cx="1143000" cy="457200"/>
                          </a:xfrm>
                          <a:prstGeom prst="rect">
                            <a:avLst/>
                          </a:prstGeom>
                          <a:solidFill>
                            <a:srgbClr val="FFFFFF"/>
                          </a:solidFill>
                          <a:ln w="9525">
                            <a:solidFill>
                              <a:srgbClr val="000000"/>
                            </a:solidFill>
                            <a:miter lim="800000"/>
                            <a:headEnd/>
                            <a:tailEnd/>
                          </a:ln>
                        </wps:spPr>
                        <wps:txbx>
                          <w:txbxContent>
                            <w:p w:rsidR="003A52A3" w:rsidRPr="002F7D03" w:rsidRDefault="003A52A3" w:rsidP="00215DF2">
                              <w:pPr>
                                <w:jc w:val="center"/>
                                <w:rPr>
                                  <w:rFonts w:cs="Arial"/>
                                  <w:sz w:val="20"/>
                                </w:rPr>
                              </w:pPr>
                              <w:r w:rsidRPr="002F7D03">
                                <w:rPr>
                                  <w:rFonts w:cs="Arial"/>
                                  <w:sz w:val="20"/>
                                </w:rPr>
                                <w:t>Syndicate</w:t>
                              </w:r>
                            </w:p>
                          </w:txbxContent>
                        </wps:txbx>
                        <wps:bodyPr rot="0" vert="horz" wrap="square" lIns="91440" tIns="45720" rIns="91440" bIns="45720" anchor="t" anchorCtr="0" upright="1">
                          <a:noAutofit/>
                        </wps:bodyPr>
                      </wps:wsp>
                      <wps:wsp>
                        <wps:cNvPr id="2" name="Rectangle 5"/>
                        <wps:cNvSpPr>
                          <a:spLocks noChangeArrowheads="1"/>
                        </wps:cNvSpPr>
                        <wps:spPr bwMode="auto">
                          <a:xfrm>
                            <a:off x="64574" y="914400"/>
                            <a:ext cx="1028700" cy="457200"/>
                          </a:xfrm>
                          <a:prstGeom prst="rect">
                            <a:avLst/>
                          </a:prstGeom>
                          <a:solidFill>
                            <a:srgbClr val="FFFFFF"/>
                          </a:solidFill>
                          <a:ln w="9525">
                            <a:solidFill>
                              <a:srgbClr val="000000"/>
                            </a:solidFill>
                            <a:miter lim="800000"/>
                            <a:headEnd/>
                            <a:tailEnd/>
                          </a:ln>
                        </wps:spPr>
                        <wps:txbx>
                          <w:txbxContent>
                            <w:p w:rsidR="003A52A3" w:rsidRPr="009047A5" w:rsidRDefault="003A52A3" w:rsidP="00215DF2">
                              <w:pPr>
                                <w:jc w:val="center"/>
                                <w:rPr>
                                  <w:rFonts w:cs="Arial"/>
                                  <w:sz w:val="16"/>
                                  <w:szCs w:val="16"/>
                                </w:rPr>
                              </w:pPr>
                              <w:r w:rsidRPr="009047A5">
                                <w:rPr>
                                  <w:rFonts w:cs="Arial"/>
                                  <w:sz w:val="16"/>
                                  <w:szCs w:val="16"/>
                                </w:rPr>
                                <w:t xml:space="preserve">Marine </w:t>
                              </w:r>
                            </w:p>
                            <w:p w:rsidR="003A52A3" w:rsidRPr="009047A5" w:rsidRDefault="003A52A3" w:rsidP="00215DF2">
                              <w:pPr>
                                <w:jc w:val="center"/>
                                <w:rPr>
                                  <w:rFonts w:cs="Arial"/>
                                  <w:sz w:val="20"/>
                                </w:rPr>
                              </w:pPr>
                              <w:r>
                                <w:rPr>
                                  <w:rFonts w:cs="Arial"/>
                                  <w:sz w:val="16"/>
                                  <w:szCs w:val="16"/>
                                </w:rPr>
                                <w:t>(Underwriter)</w:t>
                              </w:r>
                              <w:r w:rsidRPr="009047A5">
                                <w:rPr>
                                  <w:rFonts w:cs="Arial"/>
                                  <w:sz w:val="16"/>
                                  <w:szCs w:val="16"/>
                                </w:rP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207574" y="914400"/>
                            <a:ext cx="1028700" cy="457200"/>
                          </a:xfrm>
                          <a:prstGeom prst="rect">
                            <a:avLst/>
                          </a:prstGeom>
                          <a:solidFill>
                            <a:srgbClr val="FFFFFF"/>
                          </a:solidFill>
                          <a:ln w="9525">
                            <a:solidFill>
                              <a:srgbClr val="000000"/>
                            </a:solidFill>
                            <a:miter lim="800000"/>
                            <a:headEnd/>
                            <a:tailEnd/>
                          </a:ln>
                        </wps:spPr>
                        <wps:txbx>
                          <w:txbxContent>
                            <w:p w:rsidR="003A52A3" w:rsidRPr="009047A5" w:rsidRDefault="003A52A3" w:rsidP="00215DF2">
                              <w:pPr>
                                <w:jc w:val="center"/>
                                <w:rPr>
                                  <w:rFonts w:cs="Arial"/>
                                  <w:sz w:val="16"/>
                                  <w:szCs w:val="16"/>
                                </w:rPr>
                              </w:pPr>
                              <w:r w:rsidRPr="009047A5">
                                <w:rPr>
                                  <w:rFonts w:cs="Arial"/>
                                  <w:sz w:val="16"/>
                                  <w:szCs w:val="16"/>
                                </w:rPr>
                                <w:t>Property</w:t>
                              </w:r>
                            </w:p>
                            <w:p w:rsidR="003A52A3" w:rsidRPr="009047A5" w:rsidRDefault="003A52A3" w:rsidP="00215DF2">
                              <w:pPr>
                                <w:jc w:val="center"/>
                                <w:rPr>
                                  <w:rFonts w:cs="Arial"/>
                                  <w:sz w:val="16"/>
                                  <w:szCs w:val="16"/>
                                </w:rPr>
                              </w:pPr>
                              <w:r>
                                <w:rPr>
                                  <w:rFonts w:cs="Arial"/>
                                  <w:sz w:val="16"/>
                                  <w:szCs w:val="16"/>
                                </w:rPr>
                                <w:t>(Underwriter)</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350574" y="914400"/>
                            <a:ext cx="1028700" cy="457200"/>
                          </a:xfrm>
                          <a:prstGeom prst="rect">
                            <a:avLst/>
                          </a:prstGeom>
                          <a:solidFill>
                            <a:srgbClr val="FFFFFF"/>
                          </a:solidFill>
                          <a:ln w="9525">
                            <a:solidFill>
                              <a:srgbClr val="000000"/>
                            </a:solidFill>
                            <a:miter lim="800000"/>
                            <a:headEnd/>
                            <a:tailEnd/>
                          </a:ln>
                        </wps:spPr>
                        <wps:txbx>
                          <w:txbxContent>
                            <w:p w:rsidR="003A52A3" w:rsidRDefault="003A52A3" w:rsidP="00215DF2">
                              <w:pPr>
                                <w:jc w:val="center"/>
                                <w:rPr>
                                  <w:rFonts w:cs="Arial"/>
                                  <w:sz w:val="16"/>
                                  <w:szCs w:val="16"/>
                                </w:rPr>
                              </w:pPr>
                              <w:r>
                                <w:rPr>
                                  <w:rFonts w:cs="Arial"/>
                                  <w:sz w:val="16"/>
                                  <w:szCs w:val="16"/>
                                </w:rPr>
                                <w:t>Casualty</w:t>
                              </w:r>
                            </w:p>
                            <w:p w:rsidR="003A52A3" w:rsidRPr="009047A5" w:rsidRDefault="003A52A3" w:rsidP="00215DF2">
                              <w:pPr>
                                <w:jc w:val="center"/>
                                <w:rPr>
                                  <w:rFonts w:cs="Arial"/>
                                  <w:sz w:val="16"/>
                                  <w:szCs w:val="16"/>
                                </w:rPr>
                              </w:pPr>
                              <w:r>
                                <w:rPr>
                                  <w:rFonts w:cs="Arial"/>
                                  <w:sz w:val="16"/>
                                  <w:szCs w:val="16"/>
                                </w:rPr>
                                <w:t>(Underwriter)</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607874" y="914400"/>
                            <a:ext cx="1028700" cy="457200"/>
                          </a:xfrm>
                          <a:prstGeom prst="rect">
                            <a:avLst/>
                          </a:prstGeom>
                          <a:solidFill>
                            <a:srgbClr val="FFFFFF"/>
                          </a:solidFill>
                          <a:ln w="9525">
                            <a:solidFill>
                              <a:srgbClr val="000000"/>
                            </a:solidFill>
                            <a:miter lim="800000"/>
                            <a:headEnd/>
                            <a:tailEnd/>
                          </a:ln>
                        </wps:spPr>
                        <wps:txbx>
                          <w:txbxContent>
                            <w:p w:rsidR="003A52A3" w:rsidRDefault="003A52A3" w:rsidP="00215DF2">
                              <w:pPr>
                                <w:jc w:val="center"/>
                                <w:rPr>
                                  <w:rFonts w:cs="Arial"/>
                                  <w:sz w:val="16"/>
                                  <w:szCs w:val="16"/>
                                </w:rPr>
                              </w:pPr>
                              <w:r>
                                <w:rPr>
                                  <w:rFonts w:cs="Arial"/>
                                  <w:sz w:val="16"/>
                                  <w:szCs w:val="16"/>
                                </w:rPr>
                                <w:t>Aviation</w:t>
                              </w:r>
                            </w:p>
                            <w:p w:rsidR="003A52A3" w:rsidRPr="009047A5" w:rsidRDefault="003A52A3" w:rsidP="00215DF2">
                              <w:pPr>
                                <w:jc w:val="center"/>
                                <w:rPr>
                                  <w:rFonts w:cs="Arial"/>
                                  <w:sz w:val="16"/>
                                  <w:szCs w:val="16"/>
                                </w:rPr>
                              </w:pPr>
                              <w:r>
                                <w:rPr>
                                  <w:rFonts w:cs="Arial"/>
                                  <w:sz w:val="16"/>
                                  <w:szCs w:val="16"/>
                                </w:rPr>
                                <w:t>(Underwriter)</w:t>
                              </w:r>
                            </w:p>
                          </w:txbxContent>
                        </wps:txbx>
                        <wps:bodyPr rot="0" vert="horz" wrap="square" lIns="91440" tIns="45720" rIns="91440" bIns="45720" anchor="t" anchorCtr="0" upright="1">
                          <a:noAutofit/>
                        </wps:bodyPr>
                      </wps:wsp>
                      <wps:wsp>
                        <wps:cNvPr id="7" name="Rectangle 9"/>
                        <wps:cNvSpPr>
                          <a:spLocks noChangeArrowheads="1"/>
                        </wps:cNvSpPr>
                        <wps:spPr bwMode="auto">
                          <a:xfrm>
                            <a:off x="521774" y="1485900"/>
                            <a:ext cx="1143000" cy="228600"/>
                          </a:xfrm>
                          <a:prstGeom prst="rect">
                            <a:avLst/>
                          </a:prstGeom>
                          <a:solidFill>
                            <a:srgbClr val="FFFFFF"/>
                          </a:solidFill>
                          <a:ln w="9525">
                            <a:solidFill>
                              <a:srgbClr val="000000"/>
                            </a:solidFill>
                            <a:miter lim="800000"/>
                            <a:headEnd/>
                            <a:tailEnd/>
                          </a:ln>
                        </wps:spPr>
                        <wps:txbx>
                          <w:txbxContent>
                            <w:p w:rsidR="003A52A3" w:rsidRPr="009047A5" w:rsidRDefault="003A52A3" w:rsidP="00215DF2">
                              <w:pPr>
                                <w:rPr>
                                  <w:rFonts w:cs="Arial"/>
                                  <w:sz w:val="16"/>
                                  <w:szCs w:val="16"/>
                                </w:rPr>
                              </w:pPr>
                              <w:r>
                                <w:rPr>
                                  <w:rFonts w:cs="Arial"/>
                                  <w:sz w:val="16"/>
                                  <w:szCs w:val="16"/>
                                </w:rPr>
                                <w:t>Hull – underwriter</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521774" y="1828800"/>
                            <a:ext cx="1143000" cy="228600"/>
                          </a:xfrm>
                          <a:prstGeom prst="rect">
                            <a:avLst/>
                          </a:prstGeom>
                          <a:solidFill>
                            <a:srgbClr val="FFFFFF"/>
                          </a:solidFill>
                          <a:ln w="9525">
                            <a:solidFill>
                              <a:srgbClr val="000000"/>
                            </a:solidFill>
                            <a:miter lim="800000"/>
                            <a:headEnd/>
                            <a:tailEnd/>
                          </a:ln>
                        </wps:spPr>
                        <wps:txbx>
                          <w:txbxContent>
                            <w:p w:rsidR="003A52A3" w:rsidRPr="009047A5" w:rsidRDefault="003A52A3" w:rsidP="00215DF2">
                              <w:pPr>
                                <w:rPr>
                                  <w:rFonts w:cs="Arial"/>
                                  <w:sz w:val="16"/>
                                  <w:szCs w:val="16"/>
                                </w:rPr>
                              </w:pPr>
                              <w:r>
                                <w:rPr>
                                  <w:rFonts w:cs="Arial"/>
                                  <w:sz w:val="16"/>
                                  <w:szCs w:val="16"/>
                                </w:rPr>
                                <w:t>Cargo – underwriter</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521774" y="2171700"/>
                            <a:ext cx="1143000" cy="228600"/>
                          </a:xfrm>
                          <a:prstGeom prst="rect">
                            <a:avLst/>
                          </a:prstGeom>
                          <a:solidFill>
                            <a:srgbClr val="FFFFFF"/>
                          </a:solidFill>
                          <a:ln w="9525">
                            <a:solidFill>
                              <a:srgbClr val="000000"/>
                            </a:solidFill>
                            <a:miter lim="800000"/>
                            <a:headEnd/>
                            <a:tailEnd/>
                          </a:ln>
                        </wps:spPr>
                        <wps:txbx>
                          <w:txbxContent>
                            <w:p w:rsidR="003A52A3" w:rsidRPr="009047A5" w:rsidRDefault="003A52A3" w:rsidP="00215DF2">
                              <w:pPr>
                                <w:rPr>
                                  <w:rFonts w:cs="Arial"/>
                                  <w:sz w:val="16"/>
                                  <w:szCs w:val="16"/>
                                </w:rPr>
                              </w:pPr>
                              <w:r>
                                <w:rPr>
                                  <w:rFonts w:cs="Arial"/>
                                  <w:sz w:val="16"/>
                                  <w:szCs w:val="16"/>
                                </w:rPr>
                                <w:t>Specie – underwriter Boat</w:t>
                              </w:r>
                            </w:p>
                          </w:txbxContent>
                        </wps:txbx>
                        <wps:bodyPr rot="0" vert="horz" wrap="square" lIns="91440" tIns="45720" rIns="91440" bIns="45720" anchor="t" anchorCtr="0" upright="1">
                          <a:noAutofit/>
                        </wps:bodyPr>
                      </wps:wsp>
                      <wps:wsp>
                        <wps:cNvPr id="10" name="Line 12"/>
                        <wps:cNvCnPr>
                          <a:cxnSpLocks noChangeShapeType="1"/>
                        </wps:cNvCnPr>
                        <wps:spPr bwMode="auto">
                          <a:xfrm flipH="1">
                            <a:off x="293174" y="2286000"/>
                            <a:ext cx="228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flipH="1">
                            <a:off x="293174" y="1943100"/>
                            <a:ext cx="228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flipH="1">
                            <a:off x="293174" y="1600200"/>
                            <a:ext cx="2286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V="1">
                            <a:off x="293174" y="1371600"/>
                            <a:ext cx="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36074" y="685800"/>
                            <a:ext cx="35433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636074"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779074"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807774"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4179374" y="6858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350574" y="457200"/>
                            <a:ext cx="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
                        <wps:cNvSpPr>
                          <a:spLocks/>
                        </wps:cNvSpPr>
                        <wps:spPr bwMode="auto">
                          <a:xfrm>
                            <a:off x="1779074" y="148590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3"/>
                        <wps:cNvSpPr>
                          <a:spLocks noChangeArrowheads="1"/>
                        </wps:cNvSpPr>
                        <wps:spPr bwMode="auto">
                          <a:xfrm>
                            <a:off x="2007674" y="1664900"/>
                            <a:ext cx="914400" cy="621700"/>
                          </a:xfrm>
                          <a:prstGeom prst="rect">
                            <a:avLst/>
                          </a:prstGeom>
                          <a:solidFill>
                            <a:srgbClr val="FFFFFF"/>
                          </a:solidFill>
                          <a:ln w="9525">
                            <a:solidFill>
                              <a:srgbClr val="FFFFFF"/>
                            </a:solidFill>
                            <a:miter lim="800000"/>
                            <a:headEnd/>
                            <a:tailEnd/>
                          </a:ln>
                        </wps:spPr>
                        <wps:txbx>
                          <w:txbxContent>
                            <w:p w:rsidR="003A52A3" w:rsidRPr="00C3672D" w:rsidRDefault="003A52A3" w:rsidP="00215DF2">
                              <w:pPr>
                                <w:rPr>
                                  <w:rFonts w:cs="Arial"/>
                                  <w:i/>
                                  <w:sz w:val="20"/>
                                </w:rPr>
                              </w:pPr>
                              <w:r>
                                <w:rPr>
                                  <w:rFonts w:cs="Arial"/>
                                  <w:i/>
                                  <w:sz w:val="20"/>
                                </w:rPr>
                                <w:t>“</w:t>
                              </w:r>
                              <w:r w:rsidRPr="00C3672D">
                                <w:rPr>
                                  <w:rFonts w:cs="Arial"/>
                                  <w:i/>
                                  <w:sz w:val="20"/>
                                </w:rPr>
                                <w:t xml:space="preserve">SBF </w:t>
                              </w:r>
                              <w:r>
                                <w:rPr>
                                  <w:rFonts w:cs="Arial"/>
                                  <w:i/>
                                  <w:sz w:val="20"/>
                                </w:rPr>
                                <w:t>Classes of business”</w:t>
                              </w:r>
                            </w:p>
                          </w:txbxContent>
                        </wps:txbx>
                        <wps:bodyPr rot="0" vert="horz" wrap="square" lIns="91440" tIns="45720" rIns="91440" bIns="45720" anchor="t" anchorCtr="0" upright="1">
                          <a:noAutofit/>
                        </wps:bodyPr>
                      </wps:wsp>
                      <wps:wsp>
                        <wps:cNvPr id="22" name="AutoShape 24"/>
                        <wps:cNvSpPr>
                          <a:spLocks/>
                        </wps:cNvSpPr>
                        <wps:spPr bwMode="auto">
                          <a:xfrm>
                            <a:off x="4750874" y="80010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5"/>
                        <wps:cNvSpPr>
                          <a:spLocks noChangeArrowheads="1"/>
                        </wps:cNvSpPr>
                        <wps:spPr bwMode="auto">
                          <a:xfrm>
                            <a:off x="4865174" y="914400"/>
                            <a:ext cx="800100" cy="457200"/>
                          </a:xfrm>
                          <a:prstGeom prst="rect">
                            <a:avLst/>
                          </a:prstGeom>
                          <a:solidFill>
                            <a:srgbClr val="FFFFFF"/>
                          </a:solidFill>
                          <a:ln w="9525">
                            <a:solidFill>
                              <a:srgbClr val="FFFFFF"/>
                            </a:solidFill>
                            <a:miter lim="800000"/>
                            <a:headEnd/>
                            <a:tailEnd/>
                          </a:ln>
                        </wps:spPr>
                        <wps:txbx>
                          <w:txbxContent>
                            <w:p w:rsidR="003A52A3" w:rsidRPr="00C3672D" w:rsidRDefault="003A52A3" w:rsidP="00215DF2">
                              <w:pPr>
                                <w:rPr>
                                  <w:i/>
                                </w:rPr>
                              </w:pPr>
                              <w:r>
                                <w:rPr>
                                  <w:rFonts w:cs="Arial"/>
                                  <w:i/>
                                  <w:sz w:val="18"/>
                                  <w:szCs w:val="18"/>
                                </w:rPr>
                                <w:t>“</w:t>
                              </w:r>
                              <w:r w:rsidRPr="00C3672D">
                                <w:rPr>
                                  <w:rFonts w:cs="Arial"/>
                                  <w:i/>
                                  <w:sz w:val="18"/>
                                  <w:szCs w:val="18"/>
                                </w:rPr>
                                <w:t xml:space="preserve">Business </w:t>
                              </w:r>
                              <w:r w:rsidRPr="00C3672D">
                                <w:rPr>
                                  <w:rFonts w:cs="Arial"/>
                                  <w:i/>
                                  <w:sz w:val="20"/>
                                </w:rPr>
                                <w:t>lines</w:t>
                              </w:r>
                              <w:r>
                                <w:rPr>
                                  <w:rFonts w:cs="Arial"/>
                                  <w:i/>
                                  <w:sz w:val="20"/>
                                </w:rPr>
                                <w:t>”</w:t>
                              </w:r>
                            </w:p>
                          </w:txbxContent>
                        </wps:txbx>
                        <wps:bodyPr rot="0" vert="horz" wrap="square" lIns="91440" tIns="45720" rIns="91440" bIns="45720" anchor="t" anchorCtr="0" upright="1">
                          <a:noAutofit/>
                        </wps:bodyPr>
                      </wps:wsp>
                    </wpc:wpc>
                  </a:graphicData>
                </a:graphic>
              </wp:inline>
            </w:drawing>
          </mc:Choice>
          <mc:Fallback>
            <w:pict>
              <v:group w14:anchorId="1EE1CAA0" id="Canvas 2" o:spid="_x0000_s1026" editas="canvas" style="width:446.25pt;height:209.25pt;mso-position-horizontal-relative:char;mso-position-vertical-relative:line" coordsize="56673,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">
                <v:shape id="_x0000_s1027" type="#_x0000_t75" style="position:absolute;width:56673;height:26574;visibility:visible;mso-wrap-style:square" stroked="t" strokecolor="#333">
                  <v:fill o:detectmouseclick="t"/>
                  <v:path o:connecttype="none"/>
                </v:shape>
                <v:rect id="Rectangle 4" o:spid="_x0000_s1028" style="position:absolute;left:17790;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3A52A3" w:rsidRPr="002F7D03" w:rsidRDefault="003A52A3" w:rsidP="00215DF2">
                        <w:pPr>
                          <w:jc w:val="center"/>
                          <w:rPr>
                            <w:rFonts w:cs="Arial"/>
                            <w:sz w:val="20"/>
                          </w:rPr>
                        </w:pPr>
                        <w:r w:rsidRPr="002F7D03">
                          <w:rPr>
                            <w:rFonts w:cs="Arial"/>
                            <w:sz w:val="20"/>
                          </w:rPr>
                          <w:t>Syndicate</w:t>
                        </w:r>
                      </w:p>
                    </w:txbxContent>
                  </v:textbox>
                </v:rect>
                <v:rect id="Rectangle 5" o:spid="_x0000_s1029" style="position:absolute;left:645;top:9144;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A52A3" w:rsidRPr="009047A5" w:rsidRDefault="003A52A3" w:rsidP="00215DF2">
                        <w:pPr>
                          <w:jc w:val="center"/>
                          <w:rPr>
                            <w:rFonts w:cs="Arial"/>
                            <w:sz w:val="16"/>
                            <w:szCs w:val="16"/>
                          </w:rPr>
                        </w:pPr>
                        <w:r w:rsidRPr="009047A5">
                          <w:rPr>
                            <w:rFonts w:cs="Arial"/>
                            <w:sz w:val="16"/>
                            <w:szCs w:val="16"/>
                          </w:rPr>
                          <w:t xml:space="preserve">Marine </w:t>
                        </w:r>
                      </w:p>
                      <w:p w:rsidR="003A52A3" w:rsidRPr="009047A5" w:rsidRDefault="003A52A3" w:rsidP="00215DF2">
                        <w:pPr>
                          <w:jc w:val="center"/>
                          <w:rPr>
                            <w:rFonts w:cs="Arial"/>
                            <w:sz w:val="20"/>
                          </w:rPr>
                        </w:pPr>
                        <w:r>
                          <w:rPr>
                            <w:rFonts w:cs="Arial"/>
                            <w:sz w:val="16"/>
                            <w:szCs w:val="16"/>
                          </w:rPr>
                          <w:t>(Underwriter)</w:t>
                        </w:r>
                        <w:r w:rsidRPr="009047A5">
                          <w:rPr>
                            <w:rFonts w:cs="Arial"/>
                            <w:sz w:val="16"/>
                            <w:szCs w:val="16"/>
                          </w:rPr>
                          <w:t>.</w:t>
                        </w:r>
                      </w:p>
                    </w:txbxContent>
                  </v:textbox>
                </v:rect>
                <v:rect id="Rectangle 6" o:spid="_x0000_s1030" style="position:absolute;left:12075;top:9144;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3A52A3" w:rsidRPr="009047A5" w:rsidRDefault="003A52A3" w:rsidP="00215DF2">
                        <w:pPr>
                          <w:jc w:val="center"/>
                          <w:rPr>
                            <w:rFonts w:cs="Arial"/>
                            <w:sz w:val="16"/>
                            <w:szCs w:val="16"/>
                          </w:rPr>
                        </w:pPr>
                        <w:r w:rsidRPr="009047A5">
                          <w:rPr>
                            <w:rFonts w:cs="Arial"/>
                            <w:sz w:val="16"/>
                            <w:szCs w:val="16"/>
                          </w:rPr>
                          <w:t>Property</w:t>
                        </w:r>
                      </w:p>
                      <w:p w:rsidR="003A52A3" w:rsidRPr="009047A5" w:rsidRDefault="003A52A3" w:rsidP="00215DF2">
                        <w:pPr>
                          <w:jc w:val="center"/>
                          <w:rPr>
                            <w:rFonts w:cs="Arial"/>
                            <w:sz w:val="16"/>
                            <w:szCs w:val="16"/>
                          </w:rPr>
                        </w:pPr>
                        <w:r>
                          <w:rPr>
                            <w:rFonts w:cs="Arial"/>
                            <w:sz w:val="16"/>
                            <w:szCs w:val="16"/>
                          </w:rPr>
                          <w:t>(Underwriter)</w:t>
                        </w:r>
                      </w:p>
                    </w:txbxContent>
                  </v:textbox>
                </v:rect>
                <v:rect id="Rectangle 7" o:spid="_x0000_s1031" style="position:absolute;left:23505;top:9144;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3A52A3" w:rsidRDefault="003A52A3" w:rsidP="00215DF2">
                        <w:pPr>
                          <w:jc w:val="center"/>
                          <w:rPr>
                            <w:rFonts w:cs="Arial"/>
                            <w:sz w:val="16"/>
                            <w:szCs w:val="16"/>
                          </w:rPr>
                        </w:pPr>
                        <w:r>
                          <w:rPr>
                            <w:rFonts w:cs="Arial"/>
                            <w:sz w:val="16"/>
                            <w:szCs w:val="16"/>
                          </w:rPr>
                          <w:t>Casualty</w:t>
                        </w:r>
                      </w:p>
                      <w:p w:rsidR="003A52A3" w:rsidRPr="009047A5" w:rsidRDefault="003A52A3" w:rsidP="00215DF2">
                        <w:pPr>
                          <w:jc w:val="center"/>
                          <w:rPr>
                            <w:rFonts w:cs="Arial"/>
                            <w:sz w:val="16"/>
                            <w:szCs w:val="16"/>
                          </w:rPr>
                        </w:pPr>
                        <w:r>
                          <w:rPr>
                            <w:rFonts w:cs="Arial"/>
                            <w:sz w:val="16"/>
                            <w:szCs w:val="16"/>
                          </w:rPr>
                          <w:t>(Underwriter)</w:t>
                        </w:r>
                      </w:p>
                    </w:txbxContent>
                  </v:textbox>
                </v:rect>
                <v:rect id="Rectangle 8" o:spid="_x0000_s1032" style="position:absolute;left:36078;top:9144;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A52A3" w:rsidRDefault="003A52A3" w:rsidP="00215DF2">
                        <w:pPr>
                          <w:jc w:val="center"/>
                          <w:rPr>
                            <w:rFonts w:cs="Arial"/>
                            <w:sz w:val="16"/>
                            <w:szCs w:val="16"/>
                          </w:rPr>
                        </w:pPr>
                        <w:r>
                          <w:rPr>
                            <w:rFonts w:cs="Arial"/>
                            <w:sz w:val="16"/>
                            <w:szCs w:val="16"/>
                          </w:rPr>
                          <w:t>Aviation</w:t>
                        </w:r>
                      </w:p>
                      <w:p w:rsidR="003A52A3" w:rsidRPr="009047A5" w:rsidRDefault="003A52A3" w:rsidP="00215DF2">
                        <w:pPr>
                          <w:jc w:val="center"/>
                          <w:rPr>
                            <w:rFonts w:cs="Arial"/>
                            <w:sz w:val="16"/>
                            <w:szCs w:val="16"/>
                          </w:rPr>
                        </w:pPr>
                        <w:r>
                          <w:rPr>
                            <w:rFonts w:cs="Arial"/>
                            <w:sz w:val="16"/>
                            <w:szCs w:val="16"/>
                          </w:rPr>
                          <w:t>(Underwriter)</w:t>
                        </w:r>
                      </w:p>
                    </w:txbxContent>
                  </v:textbox>
                </v:rect>
                <v:rect id="Rectangle 9" o:spid="_x0000_s1033" style="position:absolute;left:5217;top:14859;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A52A3" w:rsidRPr="009047A5" w:rsidRDefault="003A52A3" w:rsidP="00215DF2">
                        <w:pPr>
                          <w:rPr>
                            <w:rFonts w:cs="Arial"/>
                            <w:sz w:val="16"/>
                            <w:szCs w:val="16"/>
                          </w:rPr>
                        </w:pPr>
                        <w:r>
                          <w:rPr>
                            <w:rFonts w:cs="Arial"/>
                            <w:sz w:val="16"/>
                            <w:szCs w:val="16"/>
                          </w:rPr>
                          <w:t>Hull – underwriter</w:t>
                        </w:r>
                      </w:p>
                    </w:txbxContent>
                  </v:textbox>
                </v:rect>
                <v:rect id="Rectangle 10" o:spid="_x0000_s1034" style="position:absolute;left:5217;top:18288;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A52A3" w:rsidRPr="009047A5" w:rsidRDefault="003A52A3" w:rsidP="00215DF2">
                        <w:pPr>
                          <w:rPr>
                            <w:rFonts w:cs="Arial"/>
                            <w:sz w:val="16"/>
                            <w:szCs w:val="16"/>
                          </w:rPr>
                        </w:pPr>
                        <w:r>
                          <w:rPr>
                            <w:rFonts w:cs="Arial"/>
                            <w:sz w:val="16"/>
                            <w:szCs w:val="16"/>
                          </w:rPr>
                          <w:t>Cargo – underwriter</w:t>
                        </w:r>
                      </w:p>
                    </w:txbxContent>
                  </v:textbox>
                </v:rect>
                <v:rect id="Rectangle 11" o:spid="_x0000_s1035" style="position:absolute;left:5217;top:21717;width:114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A52A3" w:rsidRPr="009047A5" w:rsidRDefault="003A52A3" w:rsidP="00215DF2">
                        <w:pPr>
                          <w:rPr>
                            <w:rFonts w:cs="Arial"/>
                            <w:sz w:val="16"/>
                            <w:szCs w:val="16"/>
                          </w:rPr>
                        </w:pPr>
                        <w:r>
                          <w:rPr>
                            <w:rFonts w:cs="Arial"/>
                            <w:sz w:val="16"/>
                            <w:szCs w:val="16"/>
                          </w:rPr>
                          <w:t>Specie – underwriter Boat</w:t>
                        </w:r>
                      </w:p>
                    </w:txbxContent>
                  </v:textbox>
                </v:rect>
                <v:line id="Line 12" o:spid="_x0000_s1036" style="position:absolute;flip:x;visibility:visible;mso-wrap-style:square" from="2931,22860" to="5217,2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3" o:spid="_x0000_s1037" style="position:absolute;flip:x;visibility:visible;mso-wrap-style:square" from="2931,19431" to="5217,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4" o:spid="_x0000_s1038" style="position:absolute;flip:x;visibility:visible;mso-wrap-style:square" from="2931,16002" to="5217,1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5" o:spid="_x0000_s1039" style="position:absolute;flip:y;visibility:visible;mso-wrap-style:square" from="2931,13716" to="2938,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6" o:spid="_x0000_s1040" style="position:absolute;visibility:visible;mso-wrap-style:square" from="6360,6858" to="4179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 o:spid="_x0000_s1041" style="position:absolute;visibility:visible;mso-wrap-style:square" from="6360,6858" to="636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8" o:spid="_x0000_s1042" style="position:absolute;visibility:visible;mso-wrap-style:square" from="17790,6858" to="177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9" o:spid="_x0000_s1043" style="position:absolute;visibility:visible;mso-wrap-style:square" from="28077,6858" to="2808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0" o:spid="_x0000_s1044" style="position:absolute;visibility:visible;mso-wrap-style:square" from="41793,6858" to="4180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1" o:spid="_x0000_s1045" style="position:absolute;visibility:visible;mso-wrap-style:square" from="23505,4572" to="2351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2" o:spid="_x0000_s1046" type="#_x0000_t88" style="position:absolute;left:17790;top:14859;width:114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"/>
                <v:rect id="Rectangle 23" o:spid="_x0000_s1047" style="position:absolute;left:20076;top:16649;width:9144;height:6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" strokecolor="white">
                  <v:textbox>
                    <w:txbxContent>
                      <w:p w:rsidR="003A52A3" w:rsidRPr="00C3672D" w:rsidRDefault="003A52A3" w:rsidP="00215DF2">
                        <w:pPr>
                          <w:rPr>
                            <w:rFonts w:cs="Arial"/>
                            <w:i/>
                            <w:sz w:val="20"/>
                          </w:rPr>
                        </w:pPr>
                        <w:r>
                          <w:rPr>
                            <w:rFonts w:cs="Arial"/>
                            <w:i/>
                            <w:sz w:val="20"/>
                          </w:rPr>
                          <w:t>“</w:t>
                        </w:r>
                        <w:r w:rsidRPr="00C3672D">
                          <w:rPr>
                            <w:rFonts w:cs="Arial"/>
                            <w:i/>
                            <w:sz w:val="20"/>
                          </w:rPr>
                          <w:t xml:space="preserve">SBF </w:t>
                        </w:r>
                        <w:r>
                          <w:rPr>
                            <w:rFonts w:cs="Arial"/>
                            <w:i/>
                            <w:sz w:val="20"/>
                          </w:rPr>
                          <w:t>Classes of business”</w:t>
                        </w:r>
                      </w:p>
                    </w:txbxContent>
                  </v:textbox>
                </v:rect>
                <v:shape id="AutoShape 24" o:spid="_x0000_s1048" type="#_x0000_t88" style="position:absolute;left:47508;top:8001;width:11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"/>
                <v:rect id="Rectangle 25" o:spid="_x0000_s1049" style="position:absolute;left:48651;top:9144;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" strokecolor="white">
                  <v:textbox>
                    <w:txbxContent>
                      <w:p w:rsidR="003A52A3" w:rsidRPr="00C3672D" w:rsidRDefault="003A52A3" w:rsidP="00215DF2">
                        <w:pPr>
                          <w:rPr>
                            <w:i/>
                          </w:rPr>
                        </w:pPr>
                        <w:r>
                          <w:rPr>
                            <w:rFonts w:cs="Arial"/>
                            <w:i/>
                            <w:sz w:val="18"/>
                            <w:szCs w:val="18"/>
                          </w:rPr>
                          <w:t>“</w:t>
                        </w:r>
                        <w:r w:rsidRPr="00C3672D">
                          <w:rPr>
                            <w:rFonts w:cs="Arial"/>
                            <w:i/>
                            <w:sz w:val="18"/>
                            <w:szCs w:val="18"/>
                          </w:rPr>
                          <w:t xml:space="preserve">Business </w:t>
                        </w:r>
                        <w:r w:rsidRPr="00C3672D">
                          <w:rPr>
                            <w:rFonts w:cs="Arial"/>
                            <w:i/>
                            <w:sz w:val="20"/>
                          </w:rPr>
                          <w:t>lines</w:t>
                        </w:r>
                        <w:r>
                          <w:rPr>
                            <w:rFonts w:cs="Arial"/>
                            <w:i/>
                            <w:sz w:val="20"/>
                          </w:rPr>
                          <w:t>”</w:t>
                        </w:r>
                      </w:p>
                    </w:txbxContent>
                  </v:textbox>
                </v:rect>
                <w10:anchorlock/>
              </v:group>
            </w:pict>
          </mc:Fallback>
        </mc:AlternateContent>
      </w:r>
    </w:p>
    <w:p w:rsidR="00215DF2" w:rsidRPr="006442F4" w:rsidRDefault="00061345">
      <w:pPr>
        <w:pStyle w:val="Heading3"/>
        <w:numPr>
          <w:ilvl w:val="0"/>
          <w:numId w:val="0"/>
        </w:numPr>
        <w:ind w:left="851"/>
        <w:rPr>
          <w:b/>
          <w:bCs/>
          <w:sz w:val="24"/>
        </w:rPr>
      </w:pPr>
      <w:r w:rsidRPr="00D63FE8">
        <w:rPr>
          <w:b/>
          <w:bCs/>
          <w:sz w:val="24"/>
        </w:rPr>
        <w:t xml:space="preserve">  </w:t>
      </w:r>
      <w:r w:rsidR="00215DF2" w:rsidRPr="006442F4">
        <w:rPr>
          <w:b/>
          <w:bCs/>
          <w:sz w:val="24"/>
        </w:rPr>
        <w:t>Portfolio Composition</w:t>
      </w:r>
    </w:p>
    <w:p w:rsidR="00215DF2" w:rsidRPr="006442F4" w:rsidRDefault="00215DF2">
      <w:pPr>
        <w:pStyle w:val="Heading3"/>
        <w:numPr>
          <w:ilvl w:val="0"/>
          <w:numId w:val="0"/>
        </w:numPr>
        <w:tabs>
          <w:tab w:val="clear" w:pos="851"/>
          <w:tab w:val="left" w:pos="1134"/>
        </w:tabs>
        <w:ind w:left="1134"/>
        <w:rPr>
          <w:rFonts w:cs="Arial"/>
        </w:rPr>
      </w:pPr>
      <w:r w:rsidRPr="006442F4">
        <w:t xml:space="preserve">For each SBF </w:t>
      </w:r>
      <w:r w:rsidR="00B96092" w:rsidRPr="006442F4">
        <w:t>class of business</w:t>
      </w:r>
      <w:r w:rsidRPr="006442F4">
        <w:t xml:space="preserve"> withi</w:t>
      </w:r>
      <w:r w:rsidR="008871A3" w:rsidRPr="006442F4">
        <w:t xml:space="preserve">n the business plan please provide a </w:t>
      </w:r>
      <w:r w:rsidRPr="006442F4">
        <w:rPr>
          <w:rFonts w:cs="Arial"/>
        </w:rPr>
        <w:t>thumbnail sketch of the account that is written to include:</w:t>
      </w:r>
    </w:p>
    <w:p w:rsidR="00B45258" w:rsidRPr="006442F4" w:rsidRDefault="00B45258" w:rsidP="00235165">
      <w:pPr>
        <w:pStyle w:val="ListParagraph"/>
        <w:numPr>
          <w:ilvl w:val="0"/>
          <w:numId w:val="25"/>
        </w:numPr>
        <w:tabs>
          <w:tab w:val="left" w:pos="1134"/>
        </w:tabs>
        <w:spacing w:after="120"/>
        <w:jc w:val="both"/>
        <w:rPr>
          <w:rFonts w:cs="Arial"/>
          <w:szCs w:val="22"/>
        </w:rPr>
      </w:pPr>
      <w:r w:rsidRPr="006442F4">
        <w:rPr>
          <w:rFonts w:cs="Arial"/>
          <w:szCs w:val="22"/>
        </w:rPr>
        <w:t>nature of the business written, for example:</w:t>
      </w:r>
    </w:p>
    <w:p w:rsidR="00215DF2" w:rsidRPr="006442F4" w:rsidRDefault="00B45258" w:rsidP="00235165">
      <w:pPr>
        <w:pStyle w:val="ListParagraph"/>
        <w:numPr>
          <w:ilvl w:val="0"/>
          <w:numId w:val="43"/>
        </w:numPr>
        <w:tabs>
          <w:tab w:val="left" w:pos="1134"/>
        </w:tabs>
        <w:spacing w:after="120"/>
        <w:ind w:left="1985"/>
        <w:jc w:val="both"/>
        <w:rPr>
          <w:rFonts w:cs="Arial"/>
          <w:szCs w:val="22"/>
        </w:rPr>
      </w:pPr>
      <w:r w:rsidRPr="006442F4">
        <w:rPr>
          <w:rFonts w:cs="Arial"/>
          <w:szCs w:val="22"/>
        </w:rPr>
        <w:t>T</w:t>
      </w:r>
      <w:r w:rsidR="00215DF2" w:rsidRPr="006442F4">
        <w:rPr>
          <w:rFonts w:cs="Arial"/>
          <w:szCs w:val="22"/>
        </w:rPr>
        <w:t>ypical, or average, limits written (i.e., not maximum or normal maximum lines)</w:t>
      </w:r>
    </w:p>
    <w:p w:rsidR="006A51BF" w:rsidRPr="006442F4" w:rsidRDefault="00157BB1" w:rsidP="00235165">
      <w:pPr>
        <w:pStyle w:val="ListParagraph"/>
        <w:numPr>
          <w:ilvl w:val="0"/>
          <w:numId w:val="43"/>
        </w:numPr>
        <w:tabs>
          <w:tab w:val="left" w:pos="1134"/>
        </w:tabs>
        <w:spacing w:after="120"/>
        <w:ind w:left="1985"/>
        <w:jc w:val="both"/>
        <w:rPr>
          <w:rFonts w:cs="Arial"/>
          <w:szCs w:val="22"/>
        </w:rPr>
      </w:pPr>
      <w:r w:rsidRPr="006442F4">
        <w:rPr>
          <w:rFonts w:cs="Arial"/>
          <w:szCs w:val="22"/>
        </w:rPr>
        <w:t>Types of assured e.g.</w:t>
      </w:r>
      <w:r w:rsidR="00215DF2" w:rsidRPr="006442F4">
        <w:rPr>
          <w:rFonts w:cs="Arial"/>
          <w:szCs w:val="22"/>
        </w:rPr>
        <w:t xml:space="preserve"> Fortune 500 / 5000 or SME or sole trader, tier two airlines, Far Eastern blue-water fleets etc.</w:t>
      </w:r>
    </w:p>
    <w:p w:rsidR="00215DF2" w:rsidRPr="006442F4" w:rsidRDefault="00157BB1" w:rsidP="00235165">
      <w:pPr>
        <w:pStyle w:val="ListParagraph"/>
        <w:numPr>
          <w:ilvl w:val="0"/>
          <w:numId w:val="43"/>
        </w:numPr>
        <w:tabs>
          <w:tab w:val="left" w:pos="1134"/>
        </w:tabs>
        <w:spacing w:after="120"/>
        <w:ind w:left="1985"/>
        <w:jc w:val="both"/>
        <w:rPr>
          <w:rFonts w:cs="Arial"/>
          <w:szCs w:val="22"/>
        </w:rPr>
      </w:pPr>
      <w:r w:rsidRPr="006442F4">
        <w:rPr>
          <w:rFonts w:cs="Arial"/>
          <w:szCs w:val="22"/>
        </w:rPr>
        <w:t>Geographic characteristics e.g.</w:t>
      </w:r>
      <w:r w:rsidR="00215DF2" w:rsidRPr="006442F4">
        <w:rPr>
          <w:rFonts w:cs="Arial"/>
          <w:szCs w:val="22"/>
        </w:rPr>
        <w:t xml:space="preserve"> US, non-US, Southern Europe etc. </w:t>
      </w:r>
    </w:p>
    <w:p w:rsidR="00173BDE" w:rsidRPr="006442F4" w:rsidRDefault="00215DF2" w:rsidP="00235165">
      <w:pPr>
        <w:pStyle w:val="ListParagraph"/>
        <w:numPr>
          <w:ilvl w:val="0"/>
          <w:numId w:val="43"/>
        </w:numPr>
        <w:tabs>
          <w:tab w:val="left" w:pos="1134"/>
        </w:tabs>
        <w:spacing w:after="120"/>
        <w:ind w:left="1985"/>
        <w:jc w:val="both"/>
        <w:rPr>
          <w:rFonts w:cs="Arial"/>
          <w:szCs w:val="22"/>
        </w:rPr>
      </w:pPr>
      <w:r w:rsidRPr="006442F4">
        <w:rPr>
          <w:rFonts w:cs="Arial"/>
          <w:szCs w:val="22"/>
        </w:rPr>
        <w:t>Whether primary, full value or excess business and if excess then target attachment points</w:t>
      </w:r>
    </w:p>
    <w:p w:rsidR="00215DF2" w:rsidRPr="006442F4" w:rsidRDefault="00215DF2" w:rsidP="00235165">
      <w:pPr>
        <w:pStyle w:val="ListParagraph"/>
        <w:numPr>
          <w:ilvl w:val="0"/>
          <w:numId w:val="43"/>
        </w:numPr>
        <w:tabs>
          <w:tab w:val="left" w:pos="1134"/>
        </w:tabs>
        <w:spacing w:after="120"/>
        <w:ind w:left="1985"/>
        <w:jc w:val="both"/>
        <w:rPr>
          <w:rFonts w:cs="Arial"/>
          <w:szCs w:val="22"/>
        </w:rPr>
      </w:pPr>
      <w:r w:rsidRPr="006442F4">
        <w:rPr>
          <w:rFonts w:cs="Arial"/>
          <w:szCs w:val="22"/>
        </w:rPr>
        <w:t>Where appropriate, types of occupation or trade covered</w:t>
      </w:r>
    </w:p>
    <w:p w:rsidR="00215DF2" w:rsidRPr="006442F4" w:rsidRDefault="00215DF2" w:rsidP="00235165">
      <w:pPr>
        <w:pStyle w:val="ListParagraph"/>
        <w:numPr>
          <w:ilvl w:val="0"/>
          <w:numId w:val="43"/>
        </w:numPr>
        <w:tabs>
          <w:tab w:val="left" w:pos="1134"/>
        </w:tabs>
        <w:spacing w:after="120"/>
        <w:ind w:left="1985"/>
        <w:jc w:val="both"/>
        <w:rPr>
          <w:rFonts w:cs="Arial"/>
          <w:szCs w:val="22"/>
        </w:rPr>
      </w:pPr>
      <w:r w:rsidRPr="006442F4">
        <w:rPr>
          <w:rFonts w:cs="Arial"/>
          <w:szCs w:val="22"/>
        </w:rPr>
        <w:t xml:space="preserve">Basis of </w:t>
      </w:r>
      <w:r w:rsidR="00434D31" w:rsidRPr="006442F4">
        <w:rPr>
          <w:rFonts w:cs="Arial"/>
          <w:szCs w:val="22"/>
        </w:rPr>
        <w:t xml:space="preserve">policy </w:t>
      </w:r>
      <w:r w:rsidR="00157BB1" w:rsidRPr="006442F4">
        <w:rPr>
          <w:rFonts w:cs="Arial"/>
          <w:szCs w:val="22"/>
        </w:rPr>
        <w:t>coverage e.g.</w:t>
      </w:r>
      <w:r w:rsidRPr="006442F4">
        <w:rPr>
          <w:rFonts w:cs="Arial"/>
          <w:szCs w:val="22"/>
        </w:rPr>
        <w:t xml:space="preserve"> claims made, losses occurring etc</w:t>
      </w:r>
      <w:r w:rsidR="006A51BF" w:rsidRPr="006442F4">
        <w:rPr>
          <w:rFonts w:cs="Arial"/>
          <w:szCs w:val="22"/>
        </w:rPr>
        <w:t>.</w:t>
      </w:r>
    </w:p>
    <w:p w:rsidR="00215DF2" w:rsidRPr="006442F4" w:rsidRDefault="00215DF2" w:rsidP="00235165">
      <w:pPr>
        <w:pStyle w:val="ListParagraph"/>
        <w:numPr>
          <w:ilvl w:val="0"/>
          <w:numId w:val="43"/>
        </w:numPr>
        <w:tabs>
          <w:tab w:val="left" w:pos="1134"/>
        </w:tabs>
        <w:spacing w:after="120"/>
        <w:ind w:left="1985"/>
        <w:jc w:val="both"/>
        <w:rPr>
          <w:rFonts w:cs="Arial"/>
          <w:szCs w:val="22"/>
        </w:rPr>
      </w:pPr>
      <w:r w:rsidRPr="006442F4">
        <w:rPr>
          <w:rFonts w:cs="Arial"/>
          <w:szCs w:val="22"/>
        </w:rPr>
        <w:t>Lead or follow split</w:t>
      </w:r>
    </w:p>
    <w:p w:rsidR="00215DF2" w:rsidRPr="006442F4" w:rsidRDefault="00157BB1" w:rsidP="00235165">
      <w:pPr>
        <w:pStyle w:val="ListParagraph"/>
        <w:numPr>
          <w:ilvl w:val="0"/>
          <w:numId w:val="43"/>
        </w:numPr>
        <w:tabs>
          <w:tab w:val="left" w:pos="1134"/>
        </w:tabs>
        <w:spacing w:after="120"/>
        <w:ind w:left="1985"/>
        <w:jc w:val="both"/>
        <w:rPr>
          <w:rFonts w:cs="Arial"/>
          <w:szCs w:val="22"/>
        </w:rPr>
      </w:pPr>
      <w:r w:rsidRPr="006442F4">
        <w:rPr>
          <w:rFonts w:cs="Arial"/>
          <w:szCs w:val="22"/>
        </w:rPr>
        <w:t>Source of business e.g.</w:t>
      </w:r>
      <w:r w:rsidR="00215DF2" w:rsidRPr="006442F4">
        <w:rPr>
          <w:rFonts w:cs="Arial"/>
          <w:szCs w:val="22"/>
        </w:rPr>
        <w:t xml:space="preserve"> service compa</w:t>
      </w:r>
      <w:r w:rsidR="00434D31" w:rsidRPr="006442F4">
        <w:rPr>
          <w:rFonts w:cs="Arial"/>
          <w:szCs w:val="22"/>
        </w:rPr>
        <w:t>ny, open market, treaty reinsurance</w:t>
      </w:r>
    </w:p>
    <w:p w:rsidR="0043413C" w:rsidRPr="006442F4" w:rsidRDefault="00B45258" w:rsidP="00235165">
      <w:pPr>
        <w:pStyle w:val="ListParagraph"/>
        <w:numPr>
          <w:ilvl w:val="0"/>
          <w:numId w:val="25"/>
        </w:numPr>
        <w:tabs>
          <w:tab w:val="left" w:pos="1134"/>
        </w:tabs>
        <w:spacing w:after="120"/>
        <w:jc w:val="both"/>
        <w:rPr>
          <w:rFonts w:cs="Arial"/>
          <w:szCs w:val="22"/>
        </w:rPr>
      </w:pPr>
      <w:r w:rsidRPr="006442F4">
        <w:rPr>
          <w:rFonts w:cs="Arial"/>
          <w:szCs w:val="22"/>
        </w:rPr>
        <w:t>Any material changes planned</w:t>
      </w:r>
      <w:r w:rsidR="002E21A6" w:rsidRPr="006442F4">
        <w:rPr>
          <w:b/>
        </w:rPr>
        <w:t xml:space="preserve">  </w:t>
      </w:r>
    </w:p>
    <w:p w:rsidR="00080ADF" w:rsidRPr="006442F4" w:rsidRDefault="00080ADF" w:rsidP="00235165">
      <w:pPr>
        <w:pStyle w:val="ListParagraph"/>
        <w:tabs>
          <w:tab w:val="left" w:pos="1134"/>
        </w:tabs>
        <w:spacing w:after="120"/>
        <w:ind w:left="1572"/>
        <w:jc w:val="both"/>
        <w:rPr>
          <w:rFonts w:cs="Arial"/>
          <w:szCs w:val="22"/>
        </w:rPr>
      </w:pPr>
    </w:p>
    <w:p w:rsidR="00215DF2" w:rsidRPr="006442F4" w:rsidRDefault="00061345">
      <w:pPr>
        <w:pStyle w:val="Heading3"/>
        <w:tabs>
          <w:tab w:val="left" w:pos="1134"/>
        </w:tabs>
        <w:ind w:hanging="3272"/>
        <w:rPr>
          <w:b/>
          <w:sz w:val="24"/>
        </w:rPr>
      </w:pPr>
      <w:r w:rsidRPr="006442F4">
        <w:rPr>
          <w:b/>
          <w:sz w:val="24"/>
        </w:rPr>
        <w:t xml:space="preserve">   </w:t>
      </w:r>
      <w:r w:rsidR="002E21A6" w:rsidRPr="006442F4">
        <w:rPr>
          <w:b/>
          <w:sz w:val="24"/>
        </w:rPr>
        <w:t xml:space="preserve"> </w:t>
      </w:r>
      <w:r w:rsidR="00215DF2" w:rsidRPr="006442F4">
        <w:rPr>
          <w:b/>
          <w:sz w:val="24"/>
        </w:rPr>
        <w:t>Market Environment</w:t>
      </w:r>
    </w:p>
    <w:p w:rsidR="00215DF2" w:rsidRPr="006442F4" w:rsidRDefault="00215DF2" w:rsidP="00235165">
      <w:pPr>
        <w:numPr>
          <w:ilvl w:val="0"/>
          <w:numId w:val="49"/>
        </w:numPr>
        <w:tabs>
          <w:tab w:val="clear" w:pos="783"/>
          <w:tab w:val="left" w:pos="1134"/>
        </w:tabs>
        <w:spacing w:after="120"/>
        <w:ind w:left="1560"/>
        <w:jc w:val="both"/>
        <w:rPr>
          <w:rFonts w:cs="Arial"/>
          <w:szCs w:val="22"/>
        </w:rPr>
      </w:pPr>
      <w:r w:rsidRPr="006442F4">
        <w:rPr>
          <w:rFonts w:cs="Arial"/>
          <w:szCs w:val="22"/>
        </w:rPr>
        <w:t>A brief analysis of the current competitive environment</w:t>
      </w:r>
      <w:r w:rsidR="001515B4" w:rsidRPr="006442F4">
        <w:rPr>
          <w:rFonts w:cs="Arial"/>
          <w:szCs w:val="22"/>
        </w:rPr>
        <w:t>.</w:t>
      </w:r>
    </w:p>
    <w:p w:rsidR="00215DF2" w:rsidRPr="006442F4" w:rsidRDefault="00215DF2" w:rsidP="00235165">
      <w:pPr>
        <w:numPr>
          <w:ilvl w:val="0"/>
          <w:numId w:val="49"/>
        </w:numPr>
        <w:tabs>
          <w:tab w:val="clear" w:pos="783"/>
        </w:tabs>
        <w:spacing w:after="120"/>
        <w:ind w:left="1560"/>
        <w:jc w:val="both"/>
        <w:rPr>
          <w:rFonts w:cs="Arial"/>
          <w:szCs w:val="22"/>
        </w:rPr>
      </w:pPr>
      <w:r w:rsidRPr="006442F4">
        <w:rPr>
          <w:rFonts w:cs="Arial"/>
          <w:szCs w:val="22"/>
        </w:rPr>
        <w:t>A brief analysis of the expected competitive environment next year and the following year i.e. how you expect the market cycle to develop and how you intend to manage your business through it</w:t>
      </w:r>
      <w:r w:rsidR="001515B4" w:rsidRPr="006442F4">
        <w:rPr>
          <w:rFonts w:cs="Arial"/>
          <w:szCs w:val="22"/>
        </w:rPr>
        <w:t>.</w:t>
      </w:r>
    </w:p>
    <w:p w:rsidR="00215DF2" w:rsidRPr="006442F4" w:rsidRDefault="00215DF2" w:rsidP="00235165">
      <w:pPr>
        <w:numPr>
          <w:ilvl w:val="0"/>
          <w:numId w:val="49"/>
        </w:numPr>
        <w:tabs>
          <w:tab w:val="clear" w:pos="783"/>
        </w:tabs>
        <w:spacing w:after="120"/>
        <w:ind w:left="1560"/>
        <w:jc w:val="both"/>
        <w:rPr>
          <w:rFonts w:cs="Arial"/>
          <w:szCs w:val="22"/>
        </w:rPr>
      </w:pPr>
      <w:r w:rsidRPr="006442F4">
        <w:rPr>
          <w:rFonts w:cs="Arial"/>
          <w:szCs w:val="22"/>
        </w:rPr>
        <w:t>What differentiates the syndicate’s approach to others operating in the marketplace for this class i.e. not just Lloyd’s or London but perhaps globally</w:t>
      </w:r>
      <w:r w:rsidR="00FA0D21" w:rsidRPr="006442F4">
        <w:rPr>
          <w:rFonts w:cs="Arial"/>
          <w:szCs w:val="22"/>
        </w:rPr>
        <w:t>.</w:t>
      </w:r>
    </w:p>
    <w:p w:rsidR="00215DF2" w:rsidRPr="006442F4" w:rsidRDefault="00215DF2" w:rsidP="00235165">
      <w:pPr>
        <w:numPr>
          <w:ilvl w:val="0"/>
          <w:numId w:val="49"/>
        </w:numPr>
        <w:tabs>
          <w:tab w:val="clear" w:pos="783"/>
        </w:tabs>
        <w:spacing w:after="120"/>
        <w:ind w:left="1560"/>
        <w:jc w:val="both"/>
        <w:rPr>
          <w:rFonts w:cs="Arial"/>
          <w:szCs w:val="22"/>
        </w:rPr>
      </w:pPr>
      <w:r w:rsidRPr="006442F4">
        <w:rPr>
          <w:rFonts w:cs="Arial"/>
          <w:szCs w:val="22"/>
        </w:rPr>
        <w:t xml:space="preserve">What is the syndicate’s underwriting strategy e.g. target customers, target market </w:t>
      </w:r>
      <w:r w:rsidR="00444AF6" w:rsidRPr="006442F4">
        <w:rPr>
          <w:rFonts w:cs="Arial"/>
          <w:szCs w:val="22"/>
        </w:rPr>
        <w:t>share?</w:t>
      </w:r>
    </w:p>
    <w:p w:rsidR="00C321B4" w:rsidRPr="006442F4" w:rsidRDefault="00C321B4" w:rsidP="00235165">
      <w:pPr>
        <w:spacing w:after="120"/>
        <w:jc w:val="both"/>
        <w:rPr>
          <w:rFonts w:cs="Arial"/>
          <w:szCs w:val="22"/>
        </w:rPr>
      </w:pPr>
    </w:p>
    <w:p w:rsidR="00B45258" w:rsidRPr="00293084" w:rsidRDefault="00B45258" w:rsidP="00235165">
      <w:pPr>
        <w:spacing w:after="120"/>
        <w:ind w:left="1134"/>
        <w:jc w:val="both"/>
        <w:rPr>
          <w:rFonts w:cs="Arial"/>
          <w:b/>
          <w:sz w:val="24"/>
          <w:szCs w:val="22"/>
        </w:rPr>
      </w:pPr>
      <w:r w:rsidRPr="007924BA">
        <w:rPr>
          <w:rFonts w:cs="Arial"/>
          <w:b/>
          <w:sz w:val="24"/>
          <w:szCs w:val="22"/>
        </w:rPr>
        <w:t xml:space="preserve">Drivers of Poor Performance and </w:t>
      </w:r>
      <w:r w:rsidR="00A30933" w:rsidRPr="00293084">
        <w:rPr>
          <w:rFonts w:cs="Arial"/>
          <w:b/>
          <w:sz w:val="24"/>
          <w:szCs w:val="22"/>
        </w:rPr>
        <w:t>Performance Improvement Plans</w:t>
      </w:r>
    </w:p>
    <w:p w:rsidR="00425778" w:rsidRPr="00235165" w:rsidRDefault="00A30933" w:rsidP="00235165">
      <w:pPr>
        <w:numPr>
          <w:ilvl w:val="0"/>
          <w:numId w:val="24"/>
        </w:numPr>
        <w:tabs>
          <w:tab w:val="clear" w:pos="783"/>
        </w:tabs>
        <w:spacing w:after="120"/>
        <w:ind w:left="1560" w:hanging="426"/>
        <w:jc w:val="both"/>
        <w:rPr>
          <w:rFonts w:cs="Arial"/>
          <w:szCs w:val="22"/>
        </w:rPr>
      </w:pPr>
      <w:r w:rsidRPr="00293084">
        <w:rPr>
          <w:rFonts w:cs="Arial"/>
          <w:szCs w:val="22"/>
        </w:rPr>
        <w:t xml:space="preserve">Include commentary on the underperforming classes or portfolios (Decile 10) as reported in Performance Improvement quarterly returns and any new Decile 10 classes based on 2019 assessments. </w:t>
      </w:r>
    </w:p>
    <w:p w:rsidR="00B45258" w:rsidRPr="00293084" w:rsidRDefault="00B45258" w:rsidP="00235165">
      <w:pPr>
        <w:numPr>
          <w:ilvl w:val="0"/>
          <w:numId w:val="24"/>
        </w:numPr>
        <w:tabs>
          <w:tab w:val="clear" w:pos="783"/>
        </w:tabs>
        <w:spacing w:after="120"/>
        <w:ind w:left="1560" w:hanging="426"/>
        <w:jc w:val="both"/>
        <w:rPr>
          <w:rFonts w:cs="Arial"/>
          <w:szCs w:val="22"/>
        </w:rPr>
      </w:pPr>
      <w:r w:rsidRPr="00293084">
        <w:rPr>
          <w:rFonts w:cs="Arial"/>
          <w:szCs w:val="22"/>
        </w:rPr>
        <w:t>Provide a segmental analysis which identifies the areas of underperformance.</w:t>
      </w:r>
    </w:p>
    <w:p w:rsidR="00B45258" w:rsidRPr="00235165" w:rsidRDefault="00B45258" w:rsidP="00235165">
      <w:pPr>
        <w:numPr>
          <w:ilvl w:val="0"/>
          <w:numId w:val="24"/>
        </w:numPr>
        <w:tabs>
          <w:tab w:val="clear" w:pos="783"/>
        </w:tabs>
        <w:spacing w:after="120"/>
        <w:ind w:left="1560" w:hanging="426"/>
        <w:jc w:val="both"/>
        <w:rPr>
          <w:rFonts w:cs="Arial"/>
          <w:szCs w:val="22"/>
        </w:rPr>
      </w:pPr>
      <w:r w:rsidRPr="00235165">
        <w:rPr>
          <w:rFonts w:cs="Arial"/>
          <w:szCs w:val="22"/>
        </w:rPr>
        <w:t>Describe how the syndicate plans to remediate thi performance.  This</w:t>
      </w:r>
      <w:r w:rsidRPr="00235165">
        <w:t xml:space="preserve"> </w:t>
      </w:r>
      <w:r w:rsidRPr="00235165">
        <w:rPr>
          <w:rFonts w:cs="Arial"/>
          <w:szCs w:val="22"/>
        </w:rPr>
        <w:t>should be both quantitative and qualitative with reference to the market cycle for that class.</w:t>
      </w:r>
    </w:p>
    <w:p w:rsidR="00A30933" w:rsidRPr="00235165" w:rsidRDefault="00A30933" w:rsidP="00235165">
      <w:pPr>
        <w:pStyle w:val="ListParagraph"/>
        <w:spacing w:after="120"/>
        <w:ind w:left="1134"/>
        <w:rPr>
          <w:rFonts w:cs="Arial"/>
          <w:b/>
          <w:sz w:val="24"/>
          <w:szCs w:val="22"/>
        </w:rPr>
      </w:pPr>
    </w:p>
    <w:p w:rsidR="00A30933" w:rsidRPr="00235165" w:rsidRDefault="00A30933" w:rsidP="00235165">
      <w:pPr>
        <w:pStyle w:val="ListParagraph"/>
        <w:spacing w:after="120"/>
        <w:ind w:left="1134"/>
        <w:rPr>
          <w:rFonts w:cs="Arial"/>
          <w:b/>
          <w:sz w:val="24"/>
          <w:szCs w:val="22"/>
        </w:rPr>
      </w:pPr>
      <w:r w:rsidRPr="007924BA">
        <w:rPr>
          <w:rFonts w:cs="Arial"/>
          <w:b/>
          <w:sz w:val="24"/>
          <w:szCs w:val="22"/>
        </w:rPr>
        <w:t>Drivers of Profitable Perfor</w:t>
      </w:r>
      <w:r w:rsidRPr="00293084">
        <w:rPr>
          <w:rFonts w:cs="Arial"/>
          <w:b/>
          <w:sz w:val="24"/>
          <w:szCs w:val="22"/>
        </w:rPr>
        <w:t xml:space="preserve">mance (Decile 1 and 2 classes) </w:t>
      </w:r>
    </w:p>
    <w:p w:rsidR="00A30933" w:rsidRPr="00235165" w:rsidRDefault="00A30933" w:rsidP="00235165">
      <w:pPr>
        <w:pStyle w:val="ListParagraph"/>
        <w:spacing w:after="120"/>
        <w:ind w:left="1134"/>
        <w:rPr>
          <w:rFonts w:cs="Arial"/>
          <w:szCs w:val="22"/>
        </w:rPr>
      </w:pPr>
      <w:r w:rsidRPr="00235165">
        <w:rPr>
          <w:rFonts w:cs="Arial"/>
          <w:szCs w:val="22"/>
        </w:rPr>
        <w:t xml:space="preserve">As part of the Decile class reviews which Lloyd’s have asked all syndicates to consider, syndicates should provide narrative on their Decile 1 and 2 classes and any rationales for growth in these profitable areas taking into account market conditions and tangible opportunities. </w:t>
      </w:r>
    </w:p>
    <w:p w:rsidR="00A30933" w:rsidRDefault="00A30933" w:rsidP="00235165">
      <w:pPr>
        <w:spacing w:after="120"/>
        <w:jc w:val="both"/>
        <w:rPr>
          <w:rFonts w:cs="Arial"/>
          <w:szCs w:val="22"/>
        </w:rPr>
      </w:pPr>
    </w:p>
    <w:p w:rsidR="00A30933" w:rsidRPr="006442F4" w:rsidRDefault="00A30933" w:rsidP="00235165">
      <w:pPr>
        <w:spacing w:after="120"/>
        <w:ind w:left="1134"/>
        <w:jc w:val="both"/>
        <w:rPr>
          <w:rFonts w:cs="Arial"/>
          <w:szCs w:val="22"/>
        </w:rPr>
      </w:pPr>
    </w:p>
    <w:p w:rsidR="00031D96" w:rsidRPr="00235165" w:rsidRDefault="00061345" w:rsidP="00235165">
      <w:pPr>
        <w:pStyle w:val="Heading2"/>
        <w:tabs>
          <w:tab w:val="num" w:pos="851"/>
        </w:tabs>
        <w:jc w:val="both"/>
        <w:rPr>
          <w:b w:val="0"/>
          <w:color w:val="auto"/>
          <w:sz w:val="24"/>
          <w:szCs w:val="24"/>
        </w:rPr>
      </w:pPr>
      <w:bookmarkStart w:id="145" w:name="_Toc95271084"/>
      <w:bookmarkStart w:id="146" w:name="_Toc89826886"/>
      <w:r w:rsidRPr="006442F4">
        <w:rPr>
          <w:sz w:val="24"/>
          <w:szCs w:val="24"/>
        </w:rPr>
        <w:t xml:space="preserve">    </w:t>
      </w:r>
      <w:r w:rsidR="00031D96" w:rsidRPr="00235165">
        <w:rPr>
          <w:color w:val="auto"/>
          <w:sz w:val="24"/>
          <w:szCs w:val="24"/>
        </w:rPr>
        <w:t>Outwards Reinsurance Strategy and Plan</w:t>
      </w:r>
    </w:p>
    <w:p w:rsidR="00031D96" w:rsidRPr="00EA4E25" w:rsidRDefault="00031D96">
      <w:pPr>
        <w:pStyle w:val="Heading3"/>
        <w:tabs>
          <w:tab w:val="clear" w:pos="851"/>
          <w:tab w:val="num" w:pos="1134"/>
        </w:tabs>
        <w:ind w:left="1134" w:hanging="1134"/>
        <w:rPr>
          <w:vanish/>
          <w:lang w:eastAsia="en-GB"/>
        </w:rPr>
      </w:pPr>
      <w:r w:rsidRPr="006442F4">
        <w:rPr>
          <w:lang w:eastAsia="en-GB"/>
        </w:rPr>
        <w:t xml:space="preserve">Managing agents are required to provide an overview of the </w:t>
      </w:r>
      <w:r w:rsidR="000A2554" w:rsidRPr="006442F4">
        <w:rPr>
          <w:lang w:eastAsia="en-GB"/>
        </w:rPr>
        <w:t>high level</w:t>
      </w:r>
      <w:r w:rsidRPr="006442F4">
        <w:rPr>
          <w:lang w:eastAsia="en-GB"/>
        </w:rPr>
        <w:t xml:space="preserve"> reinsurance</w:t>
      </w:r>
      <w:r w:rsidRPr="00D63FE8">
        <w:rPr>
          <w:lang w:eastAsia="en-GB"/>
        </w:rPr>
        <w:t xml:space="preserve"> purchasing strategy which outlines the syndicate’s philosophy, business drivers and objectives for the purchase of reinsurance. It should outline how the purchasing strategy supports the risk appetite of the syndicate both per loss and in aggregate, in terms of retained insurance risk and how this influences</w:t>
      </w:r>
      <w:r w:rsidRPr="00EA4E25">
        <w:rPr>
          <w:lang w:eastAsia="en-GB"/>
        </w:rPr>
        <w:t xml:space="preserve"> the scale, breadth and attachment of the reinsurance purchased.   </w:t>
      </w: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031D96" w:rsidRPr="00EA4E25" w:rsidRDefault="00031D96" w:rsidP="00235165">
      <w:pPr>
        <w:tabs>
          <w:tab w:val="num" w:pos="1134"/>
        </w:tabs>
        <w:spacing w:before="240"/>
        <w:ind w:left="851" w:hanging="851"/>
        <w:jc w:val="both"/>
        <w:outlineLvl w:val="1"/>
        <w:rPr>
          <w:rFonts w:cs="Arial"/>
          <w:vanish/>
          <w:szCs w:val="22"/>
          <w:lang w:eastAsia="en-GB"/>
        </w:rPr>
      </w:pPr>
    </w:p>
    <w:p w:rsidR="00FD7429" w:rsidRPr="00EA4E25" w:rsidRDefault="00FD7429">
      <w:pPr>
        <w:widowControl w:val="0"/>
        <w:tabs>
          <w:tab w:val="num" w:pos="1134"/>
        </w:tabs>
        <w:spacing w:after="220"/>
        <w:ind w:left="851" w:hanging="851"/>
        <w:jc w:val="both"/>
        <w:outlineLvl w:val="2"/>
        <w:rPr>
          <w:rFonts w:cs="Arial"/>
          <w:szCs w:val="22"/>
          <w:lang w:eastAsia="en-GB"/>
        </w:rPr>
      </w:pPr>
    </w:p>
    <w:p w:rsidR="00031D96" w:rsidRPr="00EA4E25" w:rsidRDefault="00031D96">
      <w:pPr>
        <w:pStyle w:val="Heading3"/>
        <w:tabs>
          <w:tab w:val="clear" w:pos="851"/>
          <w:tab w:val="left" w:pos="-284"/>
          <w:tab w:val="num" w:pos="1134"/>
        </w:tabs>
        <w:ind w:left="1134" w:hanging="1134"/>
        <w:rPr>
          <w:lang w:eastAsia="en-GB"/>
        </w:rPr>
      </w:pPr>
      <w:r w:rsidRPr="00EA4E25">
        <w:rPr>
          <w:lang w:eastAsia="en-GB"/>
        </w:rPr>
        <w:t>Managing agents are also required to provide a commentary which details the expected reinsurance arrangements that are to protect the classes of business and exposures within the prospective year’s plan. This should include:</w:t>
      </w:r>
    </w:p>
    <w:p w:rsidR="00031D96" w:rsidRPr="00EA4E25" w:rsidRDefault="00031D96" w:rsidP="00235165">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An explanation of how these protections compare to the high</w:t>
      </w:r>
      <w:r w:rsidR="000A2554">
        <w:rPr>
          <w:rFonts w:cs="Arial"/>
          <w:szCs w:val="22"/>
        </w:rPr>
        <w:t xml:space="preserve"> </w:t>
      </w:r>
      <w:r w:rsidRPr="00EA4E25">
        <w:rPr>
          <w:rFonts w:cs="Arial"/>
          <w:szCs w:val="22"/>
        </w:rPr>
        <w:t>level reinsurance purchasing strategy</w:t>
      </w:r>
    </w:p>
    <w:p w:rsidR="00BF5660" w:rsidRPr="00EA4E25" w:rsidRDefault="00BF5660">
      <w:pPr>
        <w:widowControl w:val="0"/>
        <w:ind w:left="1418"/>
        <w:jc w:val="both"/>
        <w:outlineLvl w:val="2"/>
        <w:rPr>
          <w:rFonts w:cs="Arial"/>
          <w:szCs w:val="22"/>
        </w:rPr>
      </w:pPr>
    </w:p>
    <w:p w:rsidR="00031D96" w:rsidRPr="00EA4E25" w:rsidRDefault="00031D96" w:rsidP="00235165">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An explanation as to how the planned reinsurance premium has been formulated and allocated across the classes of business and its adequacy</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A supporting commentary for any material reliance on reinsurance commissions</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A supporting commentary regarding the adequacy of the RI premiums in the event that the whole account or planned Class of Business figures indicate that Reinsurers Loss Ratio would exceeds 90%. This being calculated as the planned reinsurance recovery as a percentage of the planned gross reinsurance premium less the planned reinsurance commissions and profit participations</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 xml:space="preserve">Details of any material reinsurer counterparty concentrations, both related and third party, in particular for any planned Class of Business where the net retention is less than 10%.   </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Details of the key assumptions, expectations or dependencies which could impact the achievement of the plan, and a quantification of their materiality, along with details of any protocols or plans in place which would mitigate their potential impact</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rPr>
      </w:pPr>
      <w:r w:rsidRPr="00EA4E25">
        <w:rPr>
          <w:rFonts w:cs="Arial"/>
          <w:szCs w:val="22"/>
        </w:rPr>
        <w:t xml:space="preserve">Details of the collateral arrangements which will support the planned reinsurance - see </w:t>
      </w:r>
      <w:r w:rsidR="00120197">
        <w:rPr>
          <w:rFonts w:cs="Arial"/>
          <w:szCs w:val="22"/>
        </w:rPr>
        <w:t>18</w:t>
      </w:r>
      <w:r w:rsidRPr="00EA4E25">
        <w:rPr>
          <w:rFonts w:cs="Arial"/>
          <w:szCs w:val="22"/>
        </w:rPr>
        <w:t>.4</w:t>
      </w:r>
    </w:p>
    <w:p w:rsidR="00BF5660" w:rsidRPr="00EA4E25" w:rsidRDefault="00BF5660" w:rsidP="00BF5660">
      <w:pPr>
        <w:widowControl w:val="0"/>
        <w:jc w:val="both"/>
        <w:outlineLvl w:val="2"/>
        <w:rPr>
          <w:rFonts w:cs="Arial"/>
          <w:szCs w:val="22"/>
        </w:rPr>
      </w:pPr>
    </w:p>
    <w:p w:rsidR="00031D96" w:rsidRPr="00EA4E25" w:rsidRDefault="00031D96" w:rsidP="009A3C84">
      <w:pPr>
        <w:widowControl w:val="0"/>
        <w:numPr>
          <w:ilvl w:val="5"/>
          <w:numId w:val="26"/>
        </w:numPr>
        <w:tabs>
          <w:tab w:val="clear" w:pos="1080"/>
          <w:tab w:val="num" w:pos="1418"/>
        </w:tabs>
        <w:ind w:left="1418" w:hanging="284"/>
        <w:jc w:val="both"/>
        <w:outlineLvl w:val="2"/>
        <w:rPr>
          <w:rFonts w:cs="Arial"/>
          <w:szCs w:val="22"/>
          <w:lang w:eastAsia="en-GB"/>
        </w:rPr>
      </w:pPr>
      <w:r w:rsidRPr="00EA4E25">
        <w:rPr>
          <w:rFonts w:cs="Arial"/>
          <w:szCs w:val="22"/>
        </w:rPr>
        <w:t>Details</w:t>
      </w:r>
      <w:r w:rsidRPr="00EA4E25">
        <w:rPr>
          <w:rFonts w:cs="Arial"/>
          <w:szCs w:val="22"/>
          <w:lang w:eastAsia="en-GB"/>
        </w:rPr>
        <w:t xml:space="preserve"> of any proposed non-standard reinsurance arrangements - see </w:t>
      </w:r>
      <w:r w:rsidR="00120197">
        <w:rPr>
          <w:rFonts w:cs="Arial"/>
          <w:szCs w:val="22"/>
          <w:lang w:eastAsia="en-GB"/>
        </w:rPr>
        <w:t>18</w:t>
      </w:r>
      <w:r w:rsidR="007143CD" w:rsidRPr="00EA4E25">
        <w:rPr>
          <w:rFonts w:cs="Arial"/>
          <w:szCs w:val="22"/>
          <w:lang w:eastAsia="en-GB"/>
        </w:rPr>
        <w:t>.5</w:t>
      </w:r>
    </w:p>
    <w:p w:rsidR="0063349B" w:rsidRPr="00EA4E25" w:rsidRDefault="0063349B" w:rsidP="00A96666">
      <w:pPr>
        <w:widowControl w:val="0"/>
        <w:tabs>
          <w:tab w:val="num" w:pos="1134"/>
        </w:tabs>
        <w:ind w:left="1080"/>
        <w:jc w:val="both"/>
        <w:outlineLvl w:val="2"/>
        <w:rPr>
          <w:rFonts w:cs="Arial"/>
          <w:szCs w:val="22"/>
          <w:lang w:eastAsia="en-GB"/>
        </w:rPr>
      </w:pPr>
    </w:p>
    <w:p w:rsidR="00031D96" w:rsidRPr="00EA4E25" w:rsidRDefault="00031D96" w:rsidP="00C321B4">
      <w:pPr>
        <w:pStyle w:val="Heading3"/>
        <w:tabs>
          <w:tab w:val="clear" w:pos="851"/>
          <w:tab w:val="num" w:pos="1134"/>
        </w:tabs>
        <w:ind w:left="1134" w:hanging="1134"/>
        <w:rPr>
          <w:b/>
          <w:sz w:val="26"/>
          <w:szCs w:val="20"/>
        </w:rPr>
      </w:pPr>
      <w:r w:rsidRPr="00EA4E25">
        <w:rPr>
          <w:lang w:eastAsia="en-GB"/>
        </w:rPr>
        <w:t xml:space="preserve">Confirmation that multi-year reinsurance protections </w:t>
      </w:r>
      <w:r w:rsidR="001A1029" w:rsidRPr="00EA4E25">
        <w:rPr>
          <w:lang w:eastAsia="en-GB"/>
        </w:rPr>
        <w:t xml:space="preserve">on matching period, coverage and terms (both vertically and horizontally) </w:t>
      </w:r>
      <w:r w:rsidRPr="00EA4E25">
        <w:rPr>
          <w:lang w:eastAsia="en-GB"/>
        </w:rPr>
        <w:t>are in place to protect any multi-year policies written by the syndicate – see 2</w:t>
      </w:r>
      <w:r w:rsidR="00120197">
        <w:rPr>
          <w:lang w:eastAsia="en-GB"/>
        </w:rPr>
        <w:t>0</w:t>
      </w:r>
      <w:r w:rsidR="00E65596" w:rsidRPr="00EA4E25">
        <w:rPr>
          <w:lang w:eastAsia="en-GB"/>
        </w:rPr>
        <w:t>.7</w:t>
      </w:r>
      <w:r w:rsidR="00120197">
        <w:rPr>
          <w:lang w:eastAsia="en-GB"/>
        </w:rPr>
        <w:t>.</w:t>
      </w:r>
      <w:r w:rsidRPr="00EA4E25">
        <w:rPr>
          <w:lang w:eastAsia="en-GB"/>
        </w:rPr>
        <w:t xml:space="preserve">     </w:t>
      </w:r>
    </w:p>
    <w:p w:rsidR="00E62E9C" w:rsidRPr="00EA4E25" w:rsidRDefault="00E62E9C" w:rsidP="00E62E9C">
      <w:pPr>
        <w:pStyle w:val="Heading3"/>
        <w:numPr>
          <w:ilvl w:val="0"/>
          <w:numId w:val="0"/>
        </w:numPr>
        <w:tabs>
          <w:tab w:val="clear" w:pos="851"/>
        </w:tabs>
        <w:ind w:left="1134"/>
        <w:rPr>
          <w:b/>
          <w:sz w:val="26"/>
          <w:szCs w:val="20"/>
        </w:rPr>
      </w:pPr>
    </w:p>
    <w:p w:rsidR="00B57AE4" w:rsidRPr="00D63FE8" w:rsidRDefault="00EB2EEF" w:rsidP="00235165">
      <w:pPr>
        <w:pStyle w:val="Heading1"/>
        <w:tabs>
          <w:tab w:val="clear" w:pos="783"/>
          <w:tab w:val="num" w:pos="1134"/>
        </w:tabs>
        <w:ind w:hanging="786"/>
      </w:pPr>
      <w:bookmarkStart w:id="147" w:name="_Toc452126186"/>
      <w:r w:rsidRPr="00D63FE8">
        <w:t>Franchise Guideline Dispensations</w:t>
      </w:r>
      <w:bookmarkEnd w:id="147"/>
    </w:p>
    <w:p w:rsidR="009E528C" w:rsidRPr="00A30933" w:rsidRDefault="00FB053E" w:rsidP="00235165">
      <w:pPr>
        <w:pStyle w:val="Heading2"/>
        <w:tabs>
          <w:tab w:val="clear" w:pos="360"/>
        </w:tabs>
        <w:ind w:left="1134" w:hanging="1134"/>
      </w:pPr>
      <w:r w:rsidRPr="00235165">
        <w:rPr>
          <w:b w:val="0"/>
          <w:sz w:val="22"/>
        </w:rPr>
        <w:t xml:space="preserve">Managing </w:t>
      </w:r>
      <w:r w:rsidR="00677FE1" w:rsidRPr="00235165">
        <w:rPr>
          <w:b w:val="0"/>
          <w:sz w:val="22"/>
        </w:rPr>
        <w:t>a</w:t>
      </w:r>
      <w:r w:rsidRPr="00235165">
        <w:rPr>
          <w:b w:val="0"/>
          <w:sz w:val="22"/>
        </w:rPr>
        <w:t xml:space="preserve">gents </w:t>
      </w:r>
      <w:r w:rsidR="00413569" w:rsidRPr="00235165">
        <w:rPr>
          <w:b w:val="0"/>
          <w:color w:val="auto"/>
          <w:sz w:val="22"/>
        </w:rPr>
        <w:t>see</w:t>
      </w:r>
      <w:r w:rsidRPr="00235165">
        <w:rPr>
          <w:b w:val="0"/>
          <w:color w:val="auto"/>
          <w:sz w:val="22"/>
        </w:rPr>
        <w:t xml:space="preserve">king </w:t>
      </w:r>
      <w:r w:rsidRPr="00235165">
        <w:rPr>
          <w:b w:val="0"/>
          <w:sz w:val="22"/>
        </w:rPr>
        <w:t xml:space="preserve">Lloyd’s approval for </w:t>
      </w:r>
      <w:r w:rsidR="00157BB1" w:rsidRPr="00235165">
        <w:rPr>
          <w:b w:val="0"/>
          <w:sz w:val="22"/>
        </w:rPr>
        <w:t>a syndicate to operate outside F</w:t>
      </w:r>
      <w:r w:rsidRPr="00235165">
        <w:rPr>
          <w:b w:val="0"/>
          <w:sz w:val="22"/>
        </w:rPr>
        <w:t xml:space="preserve">ranchise </w:t>
      </w:r>
      <w:r w:rsidR="00157BB1" w:rsidRPr="00235165">
        <w:rPr>
          <w:b w:val="0"/>
          <w:sz w:val="22"/>
        </w:rPr>
        <w:t>G</w:t>
      </w:r>
      <w:r w:rsidRPr="00235165">
        <w:rPr>
          <w:b w:val="0"/>
          <w:sz w:val="22"/>
        </w:rPr>
        <w:t xml:space="preserve">uidelines in respect of either </w:t>
      </w:r>
      <w:r w:rsidR="00234B54" w:rsidRPr="00235165">
        <w:rPr>
          <w:b w:val="0"/>
          <w:sz w:val="22"/>
        </w:rPr>
        <w:t>Aggregate Exceedance Probability</w:t>
      </w:r>
      <w:r w:rsidR="005E392F" w:rsidRPr="00235165">
        <w:rPr>
          <w:b w:val="0"/>
          <w:sz w:val="22"/>
        </w:rPr>
        <w:t xml:space="preserve"> (</w:t>
      </w:r>
      <w:r w:rsidR="00234B54" w:rsidRPr="00235165">
        <w:rPr>
          <w:b w:val="0"/>
          <w:sz w:val="22"/>
        </w:rPr>
        <w:t>AEP</w:t>
      </w:r>
      <w:r w:rsidR="005E392F" w:rsidRPr="00235165">
        <w:rPr>
          <w:b w:val="0"/>
          <w:sz w:val="22"/>
        </w:rPr>
        <w:t>)</w:t>
      </w:r>
      <w:r w:rsidRPr="00235165">
        <w:rPr>
          <w:b w:val="0"/>
          <w:sz w:val="22"/>
        </w:rPr>
        <w:t xml:space="preserve"> or for any syndicate class line size are required to supply the following information:</w:t>
      </w:r>
    </w:p>
    <w:p w:rsidR="00E42CAB" w:rsidRPr="00D63FE8" w:rsidRDefault="00E42CAB" w:rsidP="00E42CAB">
      <w:pPr>
        <w:pStyle w:val="Heading3"/>
        <w:widowControl/>
        <w:numPr>
          <w:ilvl w:val="0"/>
          <w:numId w:val="38"/>
        </w:numPr>
        <w:tabs>
          <w:tab w:val="clear" w:pos="851"/>
          <w:tab w:val="left" w:pos="720"/>
        </w:tabs>
        <w:ind w:hanging="12"/>
        <w:rPr>
          <w:b/>
          <w:bCs/>
        </w:rPr>
      </w:pPr>
      <w:r w:rsidRPr="00D63FE8">
        <w:rPr>
          <w:b/>
          <w:bCs/>
        </w:rPr>
        <w:t>Catastrophe Risk (AEP and RDS metrics)</w:t>
      </w:r>
    </w:p>
    <w:p w:rsidR="00E42CAB" w:rsidRPr="00D63FE8" w:rsidRDefault="007E0DD5" w:rsidP="00235165">
      <w:pPr>
        <w:pStyle w:val="Heading3"/>
        <w:widowControl/>
        <w:numPr>
          <w:ilvl w:val="0"/>
          <w:numId w:val="0"/>
        </w:numPr>
        <w:tabs>
          <w:tab w:val="clear" w:pos="851"/>
          <w:tab w:val="left" w:pos="720"/>
          <w:tab w:val="left" w:pos="1418"/>
        </w:tabs>
        <w:ind w:left="1418"/>
        <w:rPr>
          <w:bCs/>
        </w:rPr>
      </w:pPr>
      <w:r w:rsidRPr="007E0DD5">
        <w:rPr>
          <w:bCs/>
        </w:rPr>
        <w:t>Syndicates requesting dispensations from Franchise Guidelines for AEP 1-in-30 and/or RDS metrics must discuss the rationale for these requests with Risk Aggregation prior to submission.</w:t>
      </w:r>
    </w:p>
    <w:p w:rsidR="00593E2D" w:rsidRPr="00D63FE8" w:rsidRDefault="0096731B" w:rsidP="009A3C84">
      <w:pPr>
        <w:pStyle w:val="Heading3"/>
        <w:numPr>
          <w:ilvl w:val="0"/>
          <w:numId w:val="12"/>
        </w:numPr>
        <w:tabs>
          <w:tab w:val="clear" w:pos="851"/>
          <w:tab w:val="left" w:pos="1170"/>
        </w:tabs>
        <w:ind w:hanging="12"/>
      </w:pPr>
      <w:r w:rsidRPr="00D63FE8">
        <w:rPr>
          <w:b/>
        </w:rPr>
        <w:t xml:space="preserve">Gross </w:t>
      </w:r>
      <w:r w:rsidR="00593E2D" w:rsidRPr="00D63FE8">
        <w:rPr>
          <w:b/>
        </w:rPr>
        <w:t xml:space="preserve">Lines size </w:t>
      </w:r>
    </w:p>
    <w:p w:rsidR="009C5C71" w:rsidRPr="00EA4E25" w:rsidRDefault="00593E2D" w:rsidP="00235165">
      <w:pPr>
        <w:pStyle w:val="Heading3"/>
        <w:numPr>
          <w:ilvl w:val="0"/>
          <w:numId w:val="0"/>
        </w:numPr>
        <w:tabs>
          <w:tab w:val="clear" w:pos="851"/>
        </w:tabs>
        <w:ind w:left="1418" w:hanging="720"/>
      </w:pPr>
      <w:r w:rsidRPr="00D63FE8">
        <w:tab/>
      </w:r>
      <w:r w:rsidR="00FB053E" w:rsidRPr="00D63FE8">
        <w:t xml:space="preserve">Current </w:t>
      </w:r>
      <w:r w:rsidR="0096731B" w:rsidRPr="00D63FE8">
        <w:t>Gross L</w:t>
      </w:r>
      <w:r w:rsidR="00FB053E" w:rsidRPr="00D63FE8">
        <w:t xml:space="preserve">ine size profiles by </w:t>
      </w:r>
      <w:r w:rsidR="00B96092" w:rsidRPr="00D63FE8">
        <w:t>class of business</w:t>
      </w:r>
      <w:r w:rsidR="00FB053E" w:rsidRPr="00D63FE8">
        <w:t xml:space="preserve"> showing risk numbers, sums insured and premiums.</w:t>
      </w:r>
    </w:p>
    <w:p w:rsidR="009C5C71" w:rsidRPr="00EA4E25" w:rsidRDefault="009C5C71" w:rsidP="00235165">
      <w:pPr>
        <w:pStyle w:val="Heading3"/>
        <w:numPr>
          <w:ilvl w:val="0"/>
          <w:numId w:val="0"/>
        </w:numPr>
        <w:tabs>
          <w:tab w:val="clear" w:pos="851"/>
        </w:tabs>
        <w:ind w:left="1418" w:hanging="12"/>
      </w:pPr>
      <w:r w:rsidRPr="00EA4E25">
        <w:t xml:space="preserve">Details of matching reinsurance </w:t>
      </w:r>
      <w:r w:rsidR="0029546E" w:rsidRPr="00EA4E25">
        <w:t xml:space="preserve">by both amount and basis of coverage </w:t>
      </w:r>
      <w:r w:rsidRPr="00EA4E25">
        <w:t>(L</w:t>
      </w:r>
      <w:r w:rsidR="0029546E" w:rsidRPr="00EA4E25">
        <w:t>OD/RAD etc</w:t>
      </w:r>
      <w:r w:rsidR="00DC33B8" w:rsidRPr="00EA4E25">
        <w:t>.</w:t>
      </w:r>
      <w:r w:rsidR="0029546E" w:rsidRPr="00EA4E25">
        <w:t>).</w:t>
      </w:r>
    </w:p>
    <w:p w:rsidR="0096731B" w:rsidRPr="00EA4E25" w:rsidRDefault="0096731B" w:rsidP="009A3C84">
      <w:pPr>
        <w:pStyle w:val="Heading3"/>
        <w:numPr>
          <w:ilvl w:val="2"/>
          <w:numId w:val="11"/>
        </w:numPr>
        <w:tabs>
          <w:tab w:val="clear" w:pos="360"/>
          <w:tab w:val="clear" w:pos="851"/>
          <w:tab w:val="num" w:pos="1134"/>
        </w:tabs>
        <w:ind w:left="1134" w:firstLine="0"/>
      </w:pPr>
      <w:r w:rsidRPr="00EA4E25">
        <w:rPr>
          <w:b/>
        </w:rPr>
        <w:t>Net Line size</w:t>
      </w:r>
    </w:p>
    <w:p w:rsidR="0096731B" w:rsidRPr="00D63FE8" w:rsidRDefault="0096731B" w:rsidP="00235165">
      <w:pPr>
        <w:pStyle w:val="Heading3"/>
        <w:numPr>
          <w:ilvl w:val="0"/>
          <w:numId w:val="0"/>
        </w:numPr>
        <w:tabs>
          <w:tab w:val="clear" w:pos="851"/>
        </w:tabs>
        <w:ind w:left="1418"/>
      </w:pPr>
      <w:r w:rsidRPr="00EA4E25">
        <w:t>Any class, where the Net Retained Line is lower than the Franchise Guidelines (i.e. less than 10% of the Gross Line) which therefore require Lloyd’s approval, the syndicate is required to provide details of the business objective / rationale to support the dispensation request,</w:t>
      </w:r>
      <w:r w:rsidR="0076542A" w:rsidRPr="00EA4E25">
        <w:t xml:space="preserve"> along with a summary of the planned reinsurance protections and </w:t>
      </w:r>
      <w:r w:rsidR="0076542A" w:rsidRPr="00D63FE8">
        <w:t xml:space="preserve">reinsurer panel. </w:t>
      </w:r>
      <w:r w:rsidRPr="00D63FE8">
        <w:t xml:space="preserve">    </w:t>
      </w:r>
    </w:p>
    <w:p w:rsidR="00215DF2" w:rsidRPr="00D63FE8" w:rsidRDefault="00061345" w:rsidP="00235165">
      <w:pPr>
        <w:pStyle w:val="Heading2"/>
        <w:tabs>
          <w:tab w:val="left" w:pos="851"/>
          <w:tab w:val="num" w:pos="1134"/>
        </w:tabs>
        <w:ind w:left="1134" w:hanging="1134"/>
        <w:jc w:val="both"/>
        <w:rPr>
          <w:color w:val="auto"/>
          <w:sz w:val="24"/>
          <w:szCs w:val="24"/>
        </w:rPr>
      </w:pPr>
      <w:r w:rsidRPr="00D63FE8">
        <w:rPr>
          <w:color w:val="auto"/>
          <w:sz w:val="24"/>
          <w:szCs w:val="24"/>
        </w:rPr>
        <w:t xml:space="preserve">    </w:t>
      </w:r>
      <w:r w:rsidR="00215DF2" w:rsidRPr="00D63FE8">
        <w:rPr>
          <w:color w:val="auto"/>
          <w:sz w:val="24"/>
          <w:szCs w:val="24"/>
        </w:rPr>
        <w:t>Related Parties Transactions</w:t>
      </w:r>
      <w:bookmarkEnd w:id="145"/>
    </w:p>
    <w:bookmarkEnd w:id="146"/>
    <w:p w:rsidR="008C59EC" w:rsidRPr="00D63FE8" w:rsidRDefault="00157BB1" w:rsidP="00235165">
      <w:pPr>
        <w:adjustRightInd w:val="0"/>
        <w:spacing w:line="288" w:lineRule="auto"/>
        <w:ind w:left="1170"/>
        <w:jc w:val="both"/>
      </w:pPr>
      <w:r w:rsidRPr="00D63FE8">
        <w:rPr>
          <w:color w:val="000000"/>
          <w:szCs w:val="22"/>
        </w:rPr>
        <w:t>M</w:t>
      </w:r>
      <w:r w:rsidR="008C59EC" w:rsidRPr="00D63FE8">
        <w:rPr>
          <w:color w:val="000000"/>
          <w:szCs w:val="22"/>
        </w:rPr>
        <w:t xml:space="preserve">anaging agents are required to provide </w:t>
      </w:r>
      <w:r w:rsidR="00B82044" w:rsidRPr="00D63FE8">
        <w:rPr>
          <w:color w:val="000000"/>
          <w:szCs w:val="22"/>
        </w:rPr>
        <w:t>a brief summary of the planned</w:t>
      </w:r>
      <w:r w:rsidR="008C59EC" w:rsidRPr="00D63FE8">
        <w:rPr>
          <w:color w:val="000000"/>
          <w:szCs w:val="22"/>
        </w:rPr>
        <w:t xml:space="preserve"> Related Parties Transactions</w:t>
      </w:r>
      <w:r w:rsidR="00B82044" w:rsidRPr="00D63FE8">
        <w:rPr>
          <w:color w:val="000000"/>
          <w:szCs w:val="22"/>
        </w:rPr>
        <w:t>.</w:t>
      </w:r>
      <w:r w:rsidR="008C59EC" w:rsidRPr="00D63FE8">
        <w:rPr>
          <w:color w:val="000000"/>
          <w:szCs w:val="22"/>
        </w:rPr>
        <w:t xml:space="preserve"> </w:t>
      </w:r>
      <w:r w:rsidR="00B82044" w:rsidRPr="00D63FE8">
        <w:rPr>
          <w:color w:val="000000"/>
          <w:szCs w:val="22"/>
        </w:rPr>
        <w:t xml:space="preserve">Please also refer to </w:t>
      </w:r>
      <w:r w:rsidR="00120197">
        <w:rPr>
          <w:color w:val="000000"/>
          <w:szCs w:val="22"/>
        </w:rPr>
        <w:t>18</w:t>
      </w:r>
      <w:r w:rsidR="00B82044" w:rsidRPr="00D63FE8">
        <w:rPr>
          <w:color w:val="000000"/>
          <w:szCs w:val="22"/>
        </w:rPr>
        <w:t xml:space="preserve">.5 and </w:t>
      </w:r>
      <w:r w:rsidR="00120197">
        <w:rPr>
          <w:color w:val="000000"/>
          <w:szCs w:val="22"/>
        </w:rPr>
        <w:t>19</w:t>
      </w:r>
      <w:r w:rsidR="007143CD" w:rsidRPr="00D63FE8">
        <w:rPr>
          <w:color w:val="000000"/>
          <w:szCs w:val="22"/>
        </w:rPr>
        <w:t>.4</w:t>
      </w:r>
      <w:r w:rsidR="00B82044" w:rsidRPr="00D63FE8">
        <w:rPr>
          <w:color w:val="000000"/>
          <w:szCs w:val="22"/>
        </w:rPr>
        <w:t xml:space="preserve"> </w:t>
      </w:r>
      <w:r w:rsidR="000A2554" w:rsidRPr="00D63FE8">
        <w:rPr>
          <w:color w:val="000000"/>
          <w:szCs w:val="22"/>
        </w:rPr>
        <w:t>regarding</w:t>
      </w:r>
      <w:r w:rsidR="00B82044" w:rsidRPr="00D63FE8">
        <w:rPr>
          <w:color w:val="000000"/>
          <w:szCs w:val="22"/>
        </w:rPr>
        <w:t xml:space="preserve"> Outwards Reinsurance Related Party transactions.</w:t>
      </w:r>
    </w:p>
    <w:p w:rsidR="0029546E" w:rsidRPr="00D63FE8" w:rsidRDefault="00B82044" w:rsidP="00235165">
      <w:pPr>
        <w:pStyle w:val="Heading2"/>
        <w:numPr>
          <w:ilvl w:val="0"/>
          <w:numId w:val="0"/>
        </w:numPr>
        <w:ind w:left="1134"/>
        <w:jc w:val="both"/>
        <w:rPr>
          <w:color w:val="auto"/>
          <w:sz w:val="22"/>
          <w:szCs w:val="22"/>
        </w:rPr>
      </w:pPr>
      <w:r w:rsidRPr="00D63FE8">
        <w:rPr>
          <w:rFonts w:cs="Arial"/>
          <w:sz w:val="22"/>
          <w:szCs w:val="22"/>
        </w:rPr>
        <w:t xml:space="preserve">Please note that annual Related Party Disclosure &amp; Declaration submission will be required in Q1 of each year. </w:t>
      </w:r>
      <w:r w:rsidR="008B1C17" w:rsidRPr="00D63FE8">
        <w:rPr>
          <w:rFonts w:cs="Arial"/>
          <w:sz w:val="22"/>
          <w:szCs w:val="22"/>
        </w:rPr>
        <w:t xml:space="preserve"> </w:t>
      </w:r>
    </w:p>
    <w:p w:rsidR="00215DF2" w:rsidRPr="00D63FE8" w:rsidRDefault="00061345" w:rsidP="00235165">
      <w:pPr>
        <w:pStyle w:val="Heading2"/>
        <w:tabs>
          <w:tab w:val="left" w:pos="851"/>
          <w:tab w:val="num" w:pos="1134"/>
        </w:tabs>
        <w:ind w:left="1134" w:hanging="1134"/>
        <w:jc w:val="both"/>
        <w:rPr>
          <w:color w:val="auto"/>
          <w:sz w:val="24"/>
          <w:szCs w:val="24"/>
        </w:rPr>
      </w:pPr>
      <w:r w:rsidRPr="00D63FE8">
        <w:rPr>
          <w:color w:val="auto"/>
          <w:sz w:val="24"/>
          <w:szCs w:val="24"/>
        </w:rPr>
        <w:t xml:space="preserve">    </w:t>
      </w:r>
      <w:r w:rsidR="00215DF2" w:rsidRPr="00D63FE8">
        <w:rPr>
          <w:color w:val="auto"/>
          <w:sz w:val="24"/>
          <w:szCs w:val="24"/>
        </w:rPr>
        <w:t>Peer review</w:t>
      </w:r>
    </w:p>
    <w:p w:rsidR="00215DF2" w:rsidRPr="00EA4E25" w:rsidRDefault="00215DF2">
      <w:pPr>
        <w:pStyle w:val="Heading3"/>
        <w:tabs>
          <w:tab w:val="clear" w:pos="851"/>
          <w:tab w:val="num" w:pos="1134"/>
        </w:tabs>
        <w:ind w:left="1134" w:hanging="1134"/>
        <w:rPr>
          <w:color w:val="auto"/>
        </w:rPr>
      </w:pPr>
      <w:r w:rsidRPr="00EA4E25">
        <w:rPr>
          <w:color w:val="auto"/>
        </w:rPr>
        <w:t>Each s</w:t>
      </w:r>
      <w:r w:rsidR="008B1C17" w:rsidRPr="00EA4E25">
        <w:rPr>
          <w:color w:val="auto"/>
        </w:rPr>
        <w:t>yndicate must provide details of</w:t>
      </w:r>
      <w:r w:rsidRPr="00EA4E25">
        <w:rPr>
          <w:color w:val="auto"/>
        </w:rPr>
        <w:t xml:space="preserve"> th</w:t>
      </w:r>
      <w:r w:rsidR="008B1C17" w:rsidRPr="00EA4E25">
        <w:rPr>
          <w:color w:val="auto"/>
        </w:rPr>
        <w:t>eir independent expert review panel</w:t>
      </w:r>
      <w:r w:rsidRPr="00EA4E25">
        <w:rPr>
          <w:color w:val="auto"/>
        </w:rPr>
        <w:t xml:space="preserve"> including which classes they review, terms of reference, frequency of reviews, to whom the reviewers have to report and the</w:t>
      </w:r>
      <w:r w:rsidR="008B1C17" w:rsidRPr="00EA4E25">
        <w:rPr>
          <w:color w:val="auto"/>
        </w:rPr>
        <w:t>ir</w:t>
      </w:r>
      <w:r w:rsidRPr="00EA4E25">
        <w:rPr>
          <w:color w:val="auto"/>
        </w:rPr>
        <w:t xml:space="preserve"> employment stat</w:t>
      </w:r>
      <w:r w:rsidR="008B1C17" w:rsidRPr="00EA4E25">
        <w:rPr>
          <w:color w:val="auto"/>
        </w:rPr>
        <w:t>us.</w:t>
      </w:r>
      <w:r w:rsidRPr="00EA4E25">
        <w:rPr>
          <w:color w:val="auto"/>
        </w:rPr>
        <w:t xml:space="preserve"> </w:t>
      </w:r>
    </w:p>
    <w:p w:rsidR="00F52A42" w:rsidRPr="00EA4E25" w:rsidRDefault="00061345" w:rsidP="00235165">
      <w:pPr>
        <w:pStyle w:val="Heading2"/>
        <w:tabs>
          <w:tab w:val="num" w:pos="851"/>
        </w:tabs>
        <w:ind w:left="1134" w:hanging="1134"/>
        <w:jc w:val="both"/>
        <w:rPr>
          <w:color w:val="auto"/>
          <w:sz w:val="24"/>
          <w:szCs w:val="24"/>
        </w:rPr>
      </w:pPr>
      <w:bookmarkStart w:id="148" w:name="LK_SBF_MUS_review"/>
      <w:r w:rsidRPr="00EA4E25">
        <w:rPr>
          <w:color w:val="auto"/>
          <w:sz w:val="24"/>
          <w:szCs w:val="24"/>
        </w:rPr>
        <w:t xml:space="preserve">    </w:t>
      </w:r>
      <w:r w:rsidR="0028351B" w:rsidRPr="00EA4E25">
        <w:rPr>
          <w:color w:val="auto"/>
          <w:sz w:val="24"/>
          <w:szCs w:val="24"/>
        </w:rPr>
        <w:t>Lloyd’s Minimum Underwriting Standards</w:t>
      </w:r>
    </w:p>
    <w:bookmarkEnd w:id="148"/>
    <w:p w:rsidR="00670BFE" w:rsidRPr="00EA4E25" w:rsidRDefault="00B8109C">
      <w:pPr>
        <w:pStyle w:val="Heading3"/>
        <w:tabs>
          <w:tab w:val="clear" w:pos="851"/>
          <w:tab w:val="num" w:pos="1134"/>
        </w:tabs>
        <w:ind w:left="1134" w:hanging="1134"/>
        <w:rPr>
          <w:rFonts w:cs="Arial"/>
        </w:rPr>
      </w:pPr>
      <w:r w:rsidRPr="00EA4E25">
        <w:rPr>
          <w:rFonts w:cs="Arial"/>
        </w:rPr>
        <w:t xml:space="preserve">Managing agents are required to comply with the Minimum Standards published at </w:t>
      </w:r>
      <w:hyperlink r:id="rId28" w:history="1">
        <w:r w:rsidR="000A2554" w:rsidRPr="00DA1D84">
          <w:rPr>
            <w:rStyle w:val="Hyperlink"/>
            <w:rFonts w:cs="Arial"/>
          </w:rPr>
          <w:t>http://www.lloyds.com/the-market/operating-at-lloyds/lloyds-minimum-standards</w:t>
        </w:r>
      </w:hyperlink>
      <w:r w:rsidR="000A2554">
        <w:rPr>
          <w:rFonts w:cs="Arial"/>
        </w:rPr>
        <w:t xml:space="preserve"> </w:t>
      </w:r>
      <w:r w:rsidRPr="00EA4E25">
        <w:rPr>
          <w:rFonts w:cs="Arial"/>
        </w:rPr>
        <w:t xml:space="preserve">in order to operate at Lloyd’s. The Minimum Standards are applicable for the duration of the implementation of the agreed plan and apply to all territories where business is written, whether business is accepted directly or via any form of delegated authority, in London or on any of Lloyd’s overseas </w:t>
      </w:r>
      <w:r w:rsidR="007A43A2" w:rsidRPr="00EA4E25">
        <w:rPr>
          <w:rFonts w:cs="Arial"/>
        </w:rPr>
        <w:t>distribution channels</w:t>
      </w:r>
      <w:r w:rsidRPr="00EA4E25">
        <w:rPr>
          <w:rFonts w:cs="Arial"/>
        </w:rPr>
        <w:t xml:space="preserve">. Where managing agents identify that a syndicate does not fully comply with the Lloyd’s Minimum Standards, they are required to provide an update on the areas where there are still gaps and their plans to address them, including timescales. Where a review(s) of your business has recently been conducted by Lloyd's which has resulted in a specific action plan being put in place, that plan must be completed to the satisfaction of Lloyd's within the deadlines agreed. </w:t>
      </w:r>
      <w:r w:rsidR="0028351B" w:rsidRPr="00EA4E25">
        <w:rPr>
          <w:rFonts w:cs="Arial"/>
        </w:rPr>
        <w:t xml:space="preserve"> </w:t>
      </w:r>
    </w:p>
    <w:p w:rsidR="00627D52" w:rsidRPr="00D63FE8" w:rsidRDefault="00061345" w:rsidP="00235165">
      <w:pPr>
        <w:pStyle w:val="Heading2"/>
        <w:tabs>
          <w:tab w:val="left" w:pos="851"/>
          <w:tab w:val="num" w:pos="1134"/>
        </w:tabs>
        <w:ind w:left="1134" w:hanging="1134"/>
        <w:jc w:val="both"/>
        <w:rPr>
          <w:color w:val="auto"/>
          <w:sz w:val="24"/>
          <w:szCs w:val="24"/>
        </w:rPr>
      </w:pPr>
      <w:r w:rsidRPr="00EA4E25">
        <w:rPr>
          <w:color w:val="auto"/>
          <w:sz w:val="24"/>
          <w:szCs w:val="24"/>
        </w:rPr>
        <w:t xml:space="preserve">    </w:t>
      </w:r>
      <w:r w:rsidR="00FB6740" w:rsidRPr="00EA4E25">
        <w:rPr>
          <w:color w:val="auto"/>
          <w:sz w:val="24"/>
          <w:szCs w:val="24"/>
        </w:rPr>
        <w:t xml:space="preserve">Multiple </w:t>
      </w:r>
      <w:r w:rsidR="00FB6740" w:rsidRPr="00D63FE8">
        <w:rPr>
          <w:color w:val="auto"/>
          <w:sz w:val="24"/>
          <w:szCs w:val="24"/>
        </w:rPr>
        <w:t>Platforms</w:t>
      </w:r>
    </w:p>
    <w:p w:rsidR="00627D52" w:rsidRPr="00D63FE8" w:rsidRDefault="00627D52" w:rsidP="0004524F">
      <w:pPr>
        <w:pStyle w:val="Heading3"/>
        <w:tabs>
          <w:tab w:val="clear" w:pos="851"/>
          <w:tab w:val="num" w:pos="1134"/>
          <w:tab w:val="left" w:pos="1170"/>
        </w:tabs>
        <w:ind w:left="1134" w:hanging="1134"/>
      </w:pPr>
      <w:r w:rsidRPr="00D63FE8">
        <w:t>Where the syndicate is one platform within a larger insurance group, which operates both within and outside of the Lloyd’s market, the managing agent should provide the group's protocol for allocating business to be written as between the Lloyd’s syndicate and the non-Lloyds entities.</w:t>
      </w:r>
    </w:p>
    <w:p w:rsidR="00627D52" w:rsidRPr="00D63FE8" w:rsidRDefault="00061345" w:rsidP="00241A75">
      <w:pPr>
        <w:pStyle w:val="Heading2"/>
        <w:tabs>
          <w:tab w:val="left" w:pos="851"/>
          <w:tab w:val="num" w:pos="1134"/>
        </w:tabs>
        <w:ind w:left="1134" w:hanging="1134"/>
      </w:pPr>
      <w:r w:rsidRPr="00D63FE8">
        <w:rPr>
          <w:color w:val="auto"/>
          <w:sz w:val="24"/>
          <w:szCs w:val="24"/>
        </w:rPr>
        <w:t xml:space="preserve">    </w:t>
      </w:r>
      <w:r w:rsidR="009471CC" w:rsidRPr="00D63FE8">
        <w:rPr>
          <w:color w:val="auto"/>
          <w:sz w:val="24"/>
          <w:szCs w:val="24"/>
        </w:rPr>
        <w:t xml:space="preserve">Lloyd’s </w:t>
      </w:r>
      <w:r w:rsidR="00FB6740" w:rsidRPr="00D63FE8">
        <w:rPr>
          <w:color w:val="auto"/>
          <w:sz w:val="24"/>
          <w:szCs w:val="24"/>
        </w:rPr>
        <w:t xml:space="preserve">Overseas </w:t>
      </w:r>
      <w:r w:rsidR="007A43A2" w:rsidRPr="00D63FE8">
        <w:rPr>
          <w:color w:val="auto"/>
          <w:sz w:val="24"/>
          <w:szCs w:val="24"/>
        </w:rPr>
        <w:t>Distribution Channels</w:t>
      </w:r>
    </w:p>
    <w:p w:rsidR="00A00AB6" w:rsidRPr="00EA4E25" w:rsidRDefault="00F52A42" w:rsidP="00D11A49">
      <w:pPr>
        <w:widowControl w:val="0"/>
        <w:tabs>
          <w:tab w:val="left" w:pos="1134"/>
        </w:tabs>
        <w:spacing w:after="220"/>
        <w:ind w:left="1134" w:hanging="1134"/>
        <w:jc w:val="both"/>
        <w:outlineLvl w:val="2"/>
        <w:rPr>
          <w:color w:val="000000"/>
          <w:szCs w:val="22"/>
        </w:rPr>
      </w:pPr>
      <w:r w:rsidRPr="00EA4E25">
        <w:rPr>
          <w:b/>
          <w:color w:val="000000"/>
          <w:szCs w:val="22"/>
        </w:rPr>
        <w:t>2</w:t>
      </w:r>
      <w:r w:rsidR="00444AF6">
        <w:rPr>
          <w:b/>
          <w:color w:val="000000"/>
          <w:szCs w:val="22"/>
        </w:rPr>
        <w:t>0</w:t>
      </w:r>
      <w:r w:rsidR="00D11A49" w:rsidRPr="00EA4E25">
        <w:rPr>
          <w:b/>
          <w:color w:val="000000"/>
          <w:szCs w:val="22"/>
        </w:rPr>
        <w:t>.6</w:t>
      </w:r>
      <w:r w:rsidR="00A00AB6" w:rsidRPr="00EA4E25">
        <w:rPr>
          <w:b/>
          <w:color w:val="000000"/>
          <w:szCs w:val="22"/>
        </w:rPr>
        <w:t>.1</w:t>
      </w:r>
      <w:r w:rsidR="00A00AB6" w:rsidRPr="00EA4E25">
        <w:rPr>
          <w:color w:val="000000"/>
          <w:szCs w:val="22"/>
        </w:rPr>
        <w:t xml:space="preserve"> </w:t>
      </w:r>
      <w:r w:rsidR="00D11A49" w:rsidRPr="00EA4E25">
        <w:rPr>
          <w:color w:val="000000"/>
          <w:szCs w:val="22"/>
        </w:rPr>
        <w:t xml:space="preserve">    </w:t>
      </w:r>
      <w:r w:rsidR="00C07297" w:rsidRPr="00EA4E25">
        <w:rPr>
          <w:color w:val="000000"/>
          <w:szCs w:val="22"/>
        </w:rPr>
        <w:t xml:space="preserve"> </w:t>
      </w:r>
      <w:r w:rsidR="00F85FCD" w:rsidRPr="00EA4E25">
        <w:rPr>
          <w:color w:val="000000"/>
          <w:szCs w:val="22"/>
        </w:rPr>
        <w:tab/>
      </w:r>
      <w:r w:rsidR="00A00AB6" w:rsidRPr="00EA4E25">
        <w:rPr>
          <w:color w:val="000000"/>
          <w:szCs w:val="22"/>
        </w:rPr>
        <w:t xml:space="preserve">Where the syndicate operates or intends to operate on Lloyd’s </w:t>
      </w:r>
      <w:r w:rsidR="00626A2C" w:rsidRPr="00EA4E25">
        <w:rPr>
          <w:color w:val="000000"/>
          <w:szCs w:val="22"/>
        </w:rPr>
        <w:t xml:space="preserve">overseas </w:t>
      </w:r>
      <w:r w:rsidR="007A43A2" w:rsidRPr="00EA4E25">
        <w:rPr>
          <w:color w:val="000000"/>
          <w:szCs w:val="22"/>
        </w:rPr>
        <w:t>distribution channels</w:t>
      </w:r>
      <w:r w:rsidR="0098140C" w:rsidRPr="00EA4E25">
        <w:rPr>
          <w:color w:val="000000"/>
          <w:szCs w:val="22"/>
        </w:rPr>
        <w:t>,</w:t>
      </w:r>
      <w:r w:rsidR="00A00AB6" w:rsidRPr="00EA4E25">
        <w:rPr>
          <w:color w:val="000000"/>
          <w:szCs w:val="22"/>
        </w:rPr>
        <w:t xml:space="preserve"> include a business plan narrative in the </w:t>
      </w:r>
      <w:r w:rsidR="00DB7ACE" w:rsidRPr="00EA4E25">
        <w:rPr>
          <w:color w:val="000000"/>
          <w:szCs w:val="22"/>
        </w:rPr>
        <w:t>SBF</w:t>
      </w:r>
      <w:r w:rsidR="00A00AB6" w:rsidRPr="00EA4E25">
        <w:rPr>
          <w:color w:val="000000"/>
          <w:szCs w:val="22"/>
        </w:rPr>
        <w:t xml:space="preserve">990 and include planned premiums and loss ratios for each </w:t>
      </w:r>
      <w:r w:rsidR="007A43A2" w:rsidRPr="00EA4E25">
        <w:rPr>
          <w:color w:val="000000"/>
          <w:szCs w:val="22"/>
        </w:rPr>
        <w:t>distribution channel</w:t>
      </w:r>
      <w:r w:rsidR="00A00AB6" w:rsidRPr="00EA4E25">
        <w:rPr>
          <w:color w:val="000000"/>
          <w:szCs w:val="22"/>
        </w:rPr>
        <w:t xml:space="preserve">, split by syndicate class of business. This should be submitted on a basis consistent with form SBF105 of the SBF </w:t>
      </w:r>
      <w:r w:rsidR="00A00AB6" w:rsidRPr="00EA4E25">
        <w:rPr>
          <w:szCs w:val="22"/>
        </w:rPr>
        <w:t>Return</w:t>
      </w:r>
      <w:r w:rsidR="00A00AB6" w:rsidRPr="00EA4E25">
        <w:rPr>
          <w:color w:val="000000"/>
          <w:szCs w:val="22"/>
        </w:rPr>
        <w:t xml:space="preserve">.  </w:t>
      </w:r>
    </w:p>
    <w:p w:rsidR="00A00AB6" w:rsidRPr="00EA4E25" w:rsidRDefault="00F52A42" w:rsidP="00C07297">
      <w:pPr>
        <w:widowControl w:val="0"/>
        <w:tabs>
          <w:tab w:val="left" w:pos="1170"/>
        </w:tabs>
        <w:spacing w:after="220"/>
        <w:ind w:left="1134" w:hanging="1134"/>
        <w:jc w:val="both"/>
        <w:outlineLvl w:val="2"/>
        <w:rPr>
          <w:szCs w:val="22"/>
        </w:rPr>
      </w:pPr>
      <w:r w:rsidRPr="00EA4E25">
        <w:rPr>
          <w:b/>
          <w:color w:val="000000"/>
          <w:szCs w:val="22"/>
        </w:rPr>
        <w:t>2</w:t>
      </w:r>
      <w:r w:rsidR="00444AF6">
        <w:rPr>
          <w:b/>
          <w:color w:val="000000"/>
          <w:szCs w:val="22"/>
        </w:rPr>
        <w:t>0</w:t>
      </w:r>
      <w:r w:rsidR="00D11A49" w:rsidRPr="00EA4E25">
        <w:rPr>
          <w:b/>
          <w:color w:val="000000"/>
          <w:szCs w:val="22"/>
        </w:rPr>
        <w:t>.6</w:t>
      </w:r>
      <w:r w:rsidR="00A00AB6" w:rsidRPr="00EA4E25">
        <w:rPr>
          <w:b/>
          <w:color w:val="000000"/>
          <w:szCs w:val="22"/>
        </w:rPr>
        <w:t>.</w:t>
      </w:r>
      <w:r w:rsidR="00A00AB6" w:rsidRPr="00EA4E25">
        <w:rPr>
          <w:b/>
          <w:szCs w:val="22"/>
        </w:rPr>
        <w:t>2</w:t>
      </w:r>
      <w:r w:rsidR="00A00AB6" w:rsidRPr="00EA4E25">
        <w:rPr>
          <w:szCs w:val="22"/>
        </w:rPr>
        <w:t xml:space="preserve"> </w:t>
      </w:r>
      <w:r w:rsidR="00D11A49" w:rsidRPr="00EA4E25">
        <w:rPr>
          <w:szCs w:val="22"/>
        </w:rPr>
        <w:t xml:space="preserve">     </w:t>
      </w:r>
      <w:r w:rsidR="0055032B" w:rsidRPr="00EA4E25">
        <w:rPr>
          <w:szCs w:val="22"/>
        </w:rPr>
        <w:tab/>
      </w:r>
      <w:r w:rsidR="00A00AB6" w:rsidRPr="00EA4E25">
        <w:rPr>
          <w:szCs w:val="22"/>
        </w:rPr>
        <w:t xml:space="preserve">Where the syndicate is planning to write business through Lloyd’s China, the following additional information would be required </w:t>
      </w:r>
      <w:r w:rsidR="007A43A2" w:rsidRPr="00EA4E25">
        <w:rPr>
          <w:szCs w:val="22"/>
        </w:rPr>
        <w:t>from</w:t>
      </w:r>
      <w:r w:rsidR="00A00AB6" w:rsidRPr="00EA4E25">
        <w:rPr>
          <w:szCs w:val="22"/>
        </w:rPr>
        <w:t xml:space="preserve"> the managing agent</w:t>
      </w:r>
      <w:r w:rsidR="007A43A2" w:rsidRPr="00EA4E25">
        <w:rPr>
          <w:szCs w:val="22"/>
        </w:rPr>
        <w:t>,</w:t>
      </w:r>
      <w:r w:rsidR="00A00AB6" w:rsidRPr="00EA4E25">
        <w:rPr>
          <w:szCs w:val="22"/>
        </w:rPr>
        <w:t xml:space="preserve"> to ensure compliance as set by the Chinese Insurance Regulatory Commission (CIRC).  </w:t>
      </w:r>
    </w:p>
    <w:p w:rsidR="00A00AB6" w:rsidRPr="00EA4E25" w:rsidRDefault="00A00AB6" w:rsidP="00A00AB6">
      <w:pPr>
        <w:widowControl w:val="0"/>
        <w:tabs>
          <w:tab w:val="left" w:pos="1170"/>
        </w:tabs>
        <w:spacing w:after="220"/>
        <w:ind w:left="1146" w:hanging="720"/>
        <w:jc w:val="both"/>
        <w:outlineLvl w:val="2"/>
        <w:rPr>
          <w:szCs w:val="22"/>
        </w:rPr>
      </w:pPr>
      <w:r w:rsidRPr="00EA4E25">
        <w:rPr>
          <w:szCs w:val="22"/>
        </w:rPr>
        <w:tab/>
      </w:r>
      <w:r w:rsidR="00C07297" w:rsidRPr="00EA4E25">
        <w:rPr>
          <w:szCs w:val="22"/>
        </w:rPr>
        <w:t>When writing business on a Direct basis, t</w:t>
      </w:r>
      <w:r w:rsidRPr="00EA4E25">
        <w:rPr>
          <w:szCs w:val="22"/>
        </w:rPr>
        <w:t>he below information must be provided in the form SBF990:</w:t>
      </w:r>
    </w:p>
    <w:p w:rsidR="0055032B" w:rsidRPr="00EA4E25" w:rsidRDefault="00A00AB6" w:rsidP="0055032B">
      <w:pPr>
        <w:widowControl w:val="0"/>
        <w:numPr>
          <w:ilvl w:val="0"/>
          <w:numId w:val="27"/>
        </w:numPr>
        <w:tabs>
          <w:tab w:val="left" w:pos="1170"/>
        </w:tabs>
        <w:spacing w:after="360"/>
        <w:contextualSpacing/>
        <w:jc w:val="both"/>
        <w:outlineLvl w:val="2"/>
        <w:rPr>
          <w:szCs w:val="22"/>
        </w:rPr>
      </w:pPr>
      <w:r w:rsidRPr="00EA4E25">
        <w:rPr>
          <w:szCs w:val="22"/>
        </w:rPr>
        <w:t>The split of Direct (i.e.</w:t>
      </w:r>
      <w:r w:rsidR="00EE7701" w:rsidRPr="00EA4E25">
        <w:rPr>
          <w:szCs w:val="22"/>
        </w:rPr>
        <w:t xml:space="preserve"> </w:t>
      </w:r>
      <w:r w:rsidRPr="00EA4E25">
        <w:rPr>
          <w:szCs w:val="22"/>
        </w:rPr>
        <w:t>Chinese language local insurance policy issued) vs</w:t>
      </w:r>
      <w:r w:rsidR="00D65B7C" w:rsidRPr="00EA4E25">
        <w:rPr>
          <w:szCs w:val="22"/>
        </w:rPr>
        <w:t>.</w:t>
      </w:r>
      <w:r w:rsidRPr="00EA4E25">
        <w:rPr>
          <w:szCs w:val="22"/>
        </w:rPr>
        <w:t xml:space="preserve"> Reinsurance (including Facultative) business premium forecast GWP GBP for Lloyd’s China by </w:t>
      </w:r>
      <w:r w:rsidR="00D65B7C" w:rsidRPr="00EA4E25">
        <w:rPr>
          <w:szCs w:val="22"/>
        </w:rPr>
        <w:t xml:space="preserve">syndicate class of business. </w:t>
      </w:r>
      <w:r w:rsidRPr="00EA4E25">
        <w:rPr>
          <w:szCs w:val="22"/>
        </w:rPr>
        <w:t>When in doubt over whether business is Direct or Reinsurance under CIRC requirements, managing agents should contact Lloyd’s China.</w:t>
      </w:r>
    </w:p>
    <w:p w:rsidR="0055032B" w:rsidRPr="00EA4E25" w:rsidRDefault="0055032B" w:rsidP="0055032B">
      <w:pPr>
        <w:widowControl w:val="0"/>
        <w:tabs>
          <w:tab w:val="left" w:pos="1170"/>
        </w:tabs>
        <w:spacing w:after="360"/>
        <w:ind w:left="1440"/>
        <w:contextualSpacing/>
        <w:jc w:val="both"/>
        <w:outlineLvl w:val="2"/>
        <w:rPr>
          <w:szCs w:val="22"/>
        </w:rPr>
      </w:pPr>
    </w:p>
    <w:p w:rsidR="0055032B" w:rsidRPr="00EA4E25" w:rsidRDefault="00D65B7C" w:rsidP="0055032B">
      <w:pPr>
        <w:widowControl w:val="0"/>
        <w:numPr>
          <w:ilvl w:val="0"/>
          <w:numId w:val="27"/>
        </w:numPr>
        <w:tabs>
          <w:tab w:val="left" w:pos="1170"/>
        </w:tabs>
        <w:spacing w:after="360"/>
        <w:contextualSpacing/>
        <w:jc w:val="both"/>
        <w:outlineLvl w:val="2"/>
        <w:rPr>
          <w:szCs w:val="22"/>
        </w:rPr>
      </w:pPr>
      <w:r w:rsidRPr="00EA4E25">
        <w:rPr>
          <w:szCs w:val="22"/>
        </w:rPr>
        <w:t>T</w:t>
      </w:r>
      <w:r w:rsidR="00A00AB6" w:rsidRPr="00EA4E25">
        <w:rPr>
          <w:szCs w:val="22"/>
        </w:rPr>
        <w:t xml:space="preserve">he split of </w:t>
      </w:r>
      <w:r w:rsidRPr="00EA4E25">
        <w:rPr>
          <w:szCs w:val="22"/>
        </w:rPr>
        <w:t xml:space="preserve">business </w:t>
      </w:r>
      <w:r w:rsidR="00A00AB6" w:rsidRPr="00EA4E25">
        <w:rPr>
          <w:szCs w:val="22"/>
        </w:rPr>
        <w:t>between the Beijing vs</w:t>
      </w:r>
      <w:r w:rsidRPr="00EA4E25">
        <w:rPr>
          <w:szCs w:val="22"/>
        </w:rPr>
        <w:t>.</w:t>
      </w:r>
      <w:r w:rsidR="00A00AB6" w:rsidRPr="00EA4E25">
        <w:rPr>
          <w:szCs w:val="22"/>
        </w:rPr>
        <w:t xml:space="preserve"> Shanghai branch office</w:t>
      </w:r>
      <w:r w:rsidRPr="00EA4E25">
        <w:rPr>
          <w:szCs w:val="22"/>
        </w:rPr>
        <w:t>,</w:t>
      </w:r>
      <w:r w:rsidR="00A00AB6" w:rsidRPr="00EA4E25">
        <w:rPr>
          <w:szCs w:val="22"/>
        </w:rPr>
        <w:t xml:space="preserve"> in GWP GBP at the syndicate class of business level.</w:t>
      </w:r>
    </w:p>
    <w:p w:rsidR="0055032B" w:rsidRPr="00EA4E25" w:rsidRDefault="0055032B" w:rsidP="0055032B">
      <w:pPr>
        <w:widowControl w:val="0"/>
        <w:tabs>
          <w:tab w:val="left" w:pos="1170"/>
        </w:tabs>
        <w:spacing w:after="360"/>
        <w:ind w:left="1440"/>
        <w:contextualSpacing/>
        <w:jc w:val="both"/>
        <w:outlineLvl w:val="2"/>
        <w:rPr>
          <w:szCs w:val="22"/>
        </w:rPr>
      </w:pPr>
    </w:p>
    <w:p w:rsidR="000F6A2E" w:rsidRPr="00EA4E25" w:rsidRDefault="0055032B" w:rsidP="0055032B">
      <w:pPr>
        <w:widowControl w:val="0"/>
        <w:numPr>
          <w:ilvl w:val="0"/>
          <w:numId w:val="27"/>
        </w:numPr>
        <w:tabs>
          <w:tab w:val="left" w:pos="1170"/>
        </w:tabs>
        <w:spacing w:after="360"/>
        <w:contextualSpacing/>
        <w:jc w:val="both"/>
        <w:outlineLvl w:val="2"/>
        <w:rPr>
          <w:szCs w:val="22"/>
        </w:rPr>
      </w:pPr>
      <w:r w:rsidRPr="00EA4E25">
        <w:rPr>
          <w:szCs w:val="22"/>
        </w:rPr>
        <w:t>Please note, when completing Forms 100 and 105 for the China Direct distribution channel, the GWP figure entered should represent 100% of the premium</w:t>
      </w:r>
      <w:r w:rsidR="00C2582E" w:rsidRPr="00EA4E25">
        <w:rPr>
          <w:szCs w:val="22"/>
        </w:rPr>
        <w:t xml:space="preserve"> to</w:t>
      </w:r>
      <w:r w:rsidRPr="00EA4E25">
        <w:rPr>
          <w:szCs w:val="22"/>
        </w:rPr>
        <w:t xml:space="preserve"> be underwritten. The reinsurance cede of 20% should be shown as ‘outwards reinsurance premiums’.  If there is any additional reinsurance cover purchased (i.e., worldwide XOL cover etc., this would be included here also). The 100% (gross) and 80% (net) figures should be accounted for in other relevant Lloyd’s returns – i.e., in Form 443 where these gross and net figures are shown at distribution level. </w:t>
      </w:r>
    </w:p>
    <w:p w:rsidR="0055032B" w:rsidRPr="00EA4E25" w:rsidRDefault="0055032B" w:rsidP="0055032B">
      <w:pPr>
        <w:widowControl w:val="0"/>
        <w:tabs>
          <w:tab w:val="left" w:pos="1170"/>
        </w:tabs>
        <w:spacing w:after="360"/>
        <w:contextualSpacing/>
        <w:jc w:val="both"/>
        <w:outlineLvl w:val="2"/>
        <w:rPr>
          <w:szCs w:val="22"/>
        </w:rPr>
      </w:pPr>
    </w:p>
    <w:p w:rsidR="00D65B7C" w:rsidRPr="00EA4E25" w:rsidRDefault="00D65B7C" w:rsidP="0055032B">
      <w:pPr>
        <w:widowControl w:val="0"/>
        <w:tabs>
          <w:tab w:val="left" w:pos="1170"/>
        </w:tabs>
        <w:spacing w:before="120" w:after="220"/>
        <w:ind w:left="1134"/>
        <w:jc w:val="both"/>
        <w:outlineLvl w:val="2"/>
        <w:rPr>
          <w:szCs w:val="22"/>
        </w:rPr>
      </w:pPr>
      <w:r w:rsidRPr="00EA4E25">
        <w:rPr>
          <w:szCs w:val="22"/>
        </w:rPr>
        <w:t>When writing business on both a Direct and/or Reinsurance basis, the following information must be provided in the form 990:</w:t>
      </w:r>
    </w:p>
    <w:p w:rsidR="000B0E5D" w:rsidRPr="00EA4E25" w:rsidRDefault="00A00AB6" w:rsidP="009A3C84">
      <w:pPr>
        <w:widowControl w:val="0"/>
        <w:numPr>
          <w:ilvl w:val="0"/>
          <w:numId w:val="27"/>
        </w:numPr>
        <w:tabs>
          <w:tab w:val="left" w:pos="1170"/>
        </w:tabs>
        <w:spacing w:after="220"/>
        <w:ind w:hanging="306"/>
        <w:jc w:val="both"/>
        <w:outlineLvl w:val="2"/>
        <w:rPr>
          <w:color w:val="000000"/>
          <w:szCs w:val="22"/>
        </w:rPr>
      </w:pPr>
      <w:r w:rsidRPr="00EA4E25">
        <w:rPr>
          <w:color w:val="000000"/>
          <w:szCs w:val="22"/>
        </w:rPr>
        <w:t>Details of maximum line size for each class of business written through Lloyd’s China, even if they are within Franchise Guidelines.</w:t>
      </w:r>
      <w:r w:rsidR="009A1ED0" w:rsidRPr="00EA4E25">
        <w:rPr>
          <w:color w:val="000000"/>
          <w:szCs w:val="22"/>
        </w:rPr>
        <w:t xml:space="preserve"> </w:t>
      </w:r>
    </w:p>
    <w:p w:rsidR="00A00AB6" w:rsidRPr="00EA4E25" w:rsidRDefault="00A00AB6" w:rsidP="009A3C84">
      <w:pPr>
        <w:widowControl w:val="0"/>
        <w:numPr>
          <w:ilvl w:val="0"/>
          <w:numId w:val="27"/>
        </w:numPr>
        <w:tabs>
          <w:tab w:val="left" w:pos="1170"/>
        </w:tabs>
        <w:spacing w:after="220"/>
        <w:ind w:hanging="306"/>
        <w:jc w:val="both"/>
        <w:outlineLvl w:val="2"/>
        <w:rPr>
          <w:color w:val="000000"/>
          <w:szCs w:val="22"/>
        </w:rPr>
      </w:pPr>
      <w:r w:rsidRPr="00EA4E25">
        <w:rPr>
          <w:color w:val="000000"/>
          <w:szCs w:val="22"/>
        </w:rPr>
        <w:t xml:space="preserve">Where already operating on the </w:t>
      </w:r>
      <w:r w:rsidR="000B0E5D" w:rsidRPr="00EA4E25">
        <w:rPr>
          <w:color w:val="000000"/>
          <w:szCs w:val="22"/>
        </w:rPr>
        <w:t>distribution channel,</w:t>
      </w:r>
      <w:r w:rsidRPr="00EA4E25">
        <w:rPr>
          <w:color w:val="000000"/>
          <w:szCs w:val="22"/>
        </w:rPr>
        <w:t xml:space="preserve"> managing agents must provide written confirmation that staff</w:t>
      </w:r>
      <w:r w:rsidR="005563EA" w:rsidRPr="00EA4E25">
        <w:rPr>
          <w:color w:val="000000"/>
          <w:szCs w:val="22"/>
        </w:rPr>
        <w:t xml:space="preserve"> </w:t>
      </w:r>
      <w:r w:rsidRPr="00EA4E25">
        <w:rPr>
          <w:color w:val="000000"/>
          <w:szCs w:val="22"/>
        </w:rPr>
        <w:t>are fully compliant and understand Lloyd's China processes through a formal induction by Lloyd’s China.</w:t>
      </w:r>
    </w:p>
    <w:p w:rsidR="00A00AB6" w:rsidRPr="00EA4E25" w:rsidRDefault="00A00AB6" w:rsidP="009A3C84">
      <w:pPr>
        <w:widowControl w:val="0"/>
        <w:numPr>
          <w:ilvl w:val="0"/>
          <w:numId w:val="27"/>
        </w:numPr>
        <w:tabs>
          <w:tab w:val="left" w:pos="1170"/>
        </w:tabs>
        <w:spacing w:after="220"/>
        <w:ind w:hanging="306"/>
        <w:jc w:val="both"/>
        <w:outlineLvl w:val="2"/>
        <w:rPr>
          <w:color w:val="000000"/>
          <w:szCs w:val="22"/>
        </w:rPr>
      </w:pPr>
      <w:r w:rsidRPr="00EA4E25">
        <w:rPr>
          <w:color w:val="000000"/>
          <w:szCs w:val="22"/>
        </w:rPr>
        <w:t xml:space="preserve">Where already operating on the </w:t>
      </w:r>
      <w:r w:rsidR="000B0E5D" w:rsidRPr="00EA4E25">
        <w:rPr>
          <w:color w:val="000000"/>
          <w:szCs w:val="22"/>
        </w:rPr>
        <w:t>distribution channel,</w:t>
      </w:r>
      <w:r w:rsidRPr="00EA4E25">
        <w:rPr>
          <w:color w:val="000000"/>
          <w:szCs w:val="22"/>
        </w:rPr>
        <w:t xml:space="preserve"> managing agents must provide written confirmation that referral procedures for risks outside of local underwriter authority are in place.</w:t>
      </w:r>
    </w:p>
    <w:p w:rsidR="00A00AB6" w:rsidRPr="00EA4E25" w:rsidRDefault="00A00AB6" w:rsidP="00A00AB6">
      <w:pPr>
        <w:widowControl w:val="0"/>
        <w:numPr>
          <w:ilvl w:val="0"/>
          <w:numId w:val="27"/>
        </w:numPr>
        <w:tabs>
          <w:tab w:val="left" w:pos="1170"/>
        </w:tabs>
        <w:spacing w:after="220"/>
        <w:ind w:hanging="306"/>
        <w:jc w:val="both"/>
        <w:outlineLvl w:val="2"/>
        <w:rPr>
          <w:color w:val="000000"/>
          <w:szCs w:val="22"/>
        </w:rPr>
      </w:pPr>
      <w:r w:rsidRPr="00EA4E25">
        <w:rPr>
          <w:color w:val="000000"/>
          <w:szCs w:val="22"/>
        </w:rPr>
        <w:t xml:space="preserve">Managing agents should note that participation on the </w:t>
      </w:r>
      <w:r w:rsidR="000B0E5D" w:rsidRPr="00EA4E25">
        <w:rPr>
          <w:color w:val="000000"/>
          <w:szCs w:val="22"/>
        </w:rPr>
        <w:t>distribution channel</w:t>
      </w:r>
      <w:r w:rsidRPr="00EA4E25">
        <w:rPr>
          <w:color w:val="000000"/>
          <w:szCs w:val="22"/>
        </w:rPr>
        <w:t xml:space="preserve"> is on a represented basis only – i.e. underwriters must be located in Lloyd’s China.</w:t>
      </w:r>
    </w:p>
    <w:p w:rsidR="00DB7ACE" w:rsidRPr="00EA4E25" w:rsidRDefault="00DB7ACE" w:rsidP="00DB7ACE">
      <w:pPr>
        <w:widowControl w:val="0"/>
        <w:tabs>
          <w:tab w:val="left" w:pos="1170"/>
        </w:tabs>
        <w:spacing w:after="220"/>
        <w:ind w:left="1134" w:hanging="1134"/>
        <w:jc w:val="both"/>
        <w:outlineLvl w:val="2"/>
        <w:rPr>
          <w:szCs w:val="22"/>
        </w:rPr>
      </w:pPr>
      <w:r w:rsidRPr="00EA4E25">
        <w:rPr>
          <w:b/>
          <w:color w:val="000000"/>
          <w:szCs w:val="22"/>
        </w:rPr>
        <w:t>2</w:t>
      </w:r>
      <w:r w:rsidR="00444AF6">
        <w:rPr>
          <w:b/>
          <w:color w:val="000000"/>
          <w:szCs w:val="22"/>
        </w:rPr>
        <w:t>0</w:t>
      </w:r>
      <w:r w:rsidRPr="00EA4E25">
        <w:rPr>
          <w:b/>
          <w:color w:val="000000"/>
          <w:szCs w:val="22"/>
        </w:rPr>
        <w:t>.6.3</w:t>
      </w:r>
      <w:r w:rsidRPr="00EA4E25">
        <w:rPr>
          <w:color w:val="000000"/>
          <w:szCs w:val="22"/>
        </w:rPr>
        <w:t xml:space="preserve"> </w:t>
      </w:r>
      <w:r w:rsidRPr="00EA4E25">
        <w:rPr>
          <w:szCs w:val="22"/>
        </w:rPr>
        <w:tab/>
        <w:t xml:space="preserve">Where the syndicate is planning to write business through Lloyd’s Europe, the following additional information would be required from the managing agent. </w:t>
      </w:r>
    </w:p>
    <w:p w:rsidR="00235165" w:rsidRDefault="00DB7ACE" w:rsidP="00235165">
      <w:pPr>
        <w:numPr>
          <w:ilvl w:val="0"/>
          <w:numId w:val="44"/>
        </w:numPr>
        <w:tabs>
          <w:tab w:val="clear" w:pos="1638"/>
          <w:tab w:val="num" w:pos="1985"/>
        </w:tabs>
        <w:spacing w:before="100" w:beforeAutospacing="1" w:after="220"/>
        <w:ind w:left="1418" w:hanging="284"/>
        <w:jc w:val="both"/>
        <w:rPr>
          <w:rFonts w:cs="Arial"/>
          <w:szCs w:val="22"/>
        </w:rPr>
      </w:pPr>
      <w:r w:rsidRPr="00EA4E25">
        <w:rPr>
          <w:rFonts w:cs="Arial"/>
          <w:szCs w:val="22"/>
        </w:rPr>
        <w:t>SBF</w:t>
      </w:r>
      <w:r w:rsidR="00D14AC6">
        <w:rPr>
          <w:rFonts w:cs="Arial"/>
          <w:szCs w:val="22"/>
        </w:rPr>
        <w:t>0</w:t>
      </w:r>
      <w:r w:rsidRPr="00EA4E25">
        <w:rPr>
          <w:rFonts w:cs="Arial"/>
          <w:szCs w:val="22"/>
        </w:rPr>
        <w:t xml:space="preserve">51 - All business must be reported using Direct risk codes. </w:t>
      </w:r>
    </w:p>
    <w:p w:rsidR="00DB7ACE" w:rsidRPr="00235165" w:rsidRDefault="00DB7ACE" w:rsidP="00235165">
      <w:pPr>
        <w:numPr>
          <w:ilvl w:val="0"/>
          <w:numId w:val="44"/>
        </w:numPr>
        <w:tabs>
          <w:tab w:val="clear" w:pos="1638"/>
          <w:tab w:val="num" w:pos="1985"/>
        </w:tabs>
        <w:spacing w:before="100" w:beforeAutospacing="1" w:after="220"/>
        <w:ind w:left="1418" w:hanging="284"/>
        <w:jc w:val="both"/>
        <w:rPr>
          <w:rFonts w:cs="Arial"/>
          <w:szCs w:val="22"/>
        </w:rPr>
      </w:pPr>
      <w:r w:rsidRPr="00235165">
        <w:rPr>
          <w:rFonts w:cs="Arial"/>
          <w:szCs w:val="22"/>
        </w:rPr>
        <w:t xml:space="preserve">SBF990 </w:t>
      </w:r>
      <w:r w:rsidR="00293084" w:rsidRPr="00235165">
        <w:rPr>
          <w:rFonts w:cs="Arial"/>
          <w:szCs w:val="22"/>
        </w:rPr>
        <w:t>- Facultative and Non-Proportional Treaty (XoL) business can be placed through Lloyd’s Brussels. It can also be placed through London. However, Proportional Treaty business could only be placed, if it followed a bespoke manner similar to processing of DA business.  Please provide information about the premium income and classes of business if you are planning to write this via the Europe distribution channel.</w:t>
      </w:r>
    </w:p>
    <w:p w:rsidR="00DB7ACE" w:rsidRPr="000456E3" w:rsidRDefault="00DB7ACE" w:rsidP="000456E3">
      <w:pPr>
        <w:numPr>
          <w:ilvl w:val="0"/>
          <w:numId w:val="44"/>
        </w:numPr>
        <w:tabs>
          <w:tab w:val="clear" w:pos="1638"/>
          <w:tab w:val="num" w:pos="1985"/>
        </w:tabs>
        <w:spacing w:before="100" w:beforeAutospacing="1" w:after="220"/>
        <w:ind w:left="1418" w:hanging="284"/>
        <w:jc w:val="both"/>
        <w:rPr>
          <w:rFonts w:cs="Arial"/>
          <w:szCs w:val="22"/>
        </w:rPr>
      </w:pPr>
      <w:r w:rsidRPr="00E47BF1">
        <w:rPr>
          <w:rFonts w:cs="Arial"/>
          <w:szCs w:val="22"/>
        </w:rPr>
        <w:t>SBF990 – Additional information is required to be completed on an excel spreadsheet that can be accessed in Secure Store</w:t>
      </w:r>
      <w:r w:rsidR="00733A23" w:rsidRPr="00235165">
        <w:rPr>
          <w:rFonts w:cs="Arial"/>
          <w:szCs w:val="22"/>
        </w:rPr>
        <w:t xml:space="preserve"> within </w:t>
      </w:r>
      <w:bookmarkStart w:id="149" w:name="_Hlk11846988"/>
      <w:r w:rsidR="000456E3">
        <w:rPr>
          <w:rFonts w:cs="Arial"/>
          <w:szCs w:val="22"/>
        </w:rPr>
        <w:t>the relevant “</w:t>
      </w:r>
      <w:r w:rsidR="00A80B4B" w:rsidRPr="00235165">
        <w:rPr>
          <w:rFonts w:cs="Arial"/>
          <w:szCs w:val="22"/>
        </w:rPr>
        <w:t>EUR_Supplemental</w:t>
      </w:r>
      <w:r w:rsidR="000C2C56">
        <w:rPr>
          <w:rFonts w:cs="Arial"/>
          <w:szCs w:val="22"/>
        </w:rPr>
        <w:t xml:space="preserve"> </w:t>
      </w:r>
      <w:r w:rsidR="00A80B4B" w:rsidRPr="00235165">
        <w:rPr>
          <w:rFonts w:cs="Arial"/>
          <w:szCs w:val="22"/>
        </w:rPr>
        <w:t>data</w:t>
      </w:r>
      <w:bookmarkEnd w:id="149"/>
      <w:r w:rsidR="00A80B4B" w:rsidRPr="00235165">
        <w:rPr>
          <w:rFonts w:cs="Arial"/>
          <w:szCs w:val="22"/>
        </w:rPr>
        <w:t xml:space="preserve">” </w:t>
      </w:r>
      <w:bookmarkStart w:id="150" w:name="_Hlk11847005"/>
      <w:r w:rsidR="00733A23" w:rsidRPr="00235165">
        <w:rPr>
          <w:rFonts w:cs="Arial"/>
          <w:szCs w:val="22"/>
        </w:rPr>
        <w:t>folder</w:t>
      </w:r>
      <w:r w:rsidR="00A80B4B" w:rsidRPr="00235165">
        <w:rPr>
          <w:rFonts w:cs="Arial"/>
          <w:szCs w:val="22"/>
        </w:rPr>
        <w:t xml:space="preserve"> on the High Level Planning Data Submission Site</w:t>
      </w:r>
      <w:bookmarkEnd w:id="150"/>
      <w:r w:rsidRPr="00E47BF1">
        <w:rPr>
          <w:rFonts w:cs="Arial"/>
          <w:szCs w:val="22"/>
        </w:rPr>
        <w:t>. Data is required for GWP by country and syndicate class of business.</w:t>
      </w:r>
    </w:p>
    <w:p w:rsidR="00DA1558" w:rsidRDefault="00933727" w:rsidP="00235165">
      <w:pPr>
        <w:numPr>
          <w:ilvl w:val="0"/>
          <w:numId w:val="44"/>
        </w:numPr>
        <w:tabs>
          <w:tab w:val="clear" w:pos="1638"/>
          <w:tab w:val="num" w:pos="1985"/>
        </w:tabs>
        <w:spacing w:before="100" w:beforeAutospacing="1" w:after="220"/>
        <w:ind w:left="1418"/>
        <w:jc w:val="both"/>
        <w:rPr>
          <w:rFonts w:cs="Arial"/>
        </w:rPr>
      </w:pPr>
      <w:r w:rsidRPr="00EA4E25">
        <w:rPr>
          <w:rFonts w:cs="Arial"/>
        </w:rPr>
        <w:t xml:space="preserve">Please note that the Lloyd’s </w:t>
      </w:r>
      <w:r w:rsidR="00DA1558">
        <w:rPr>
          <w:rFonts w:cs="Arial"/>
        </w:rPr>
        <w:t>Europe Distribution channel SBF:</w:t>
      </w:r>
    </w:p>
    <w:p w:rsidR="00933727" w:rsidRDefault="00933727" w:rsidP="00DA1558">
      <w:pPr>
        <w:pStyle w:val="ListParagraph"/>
        <w:numPr>
          <w:ilvl w:val="0"/>
          <w:numId w:val="54"/>
        </w:numPr>
        <w:spacing w:before="100" w:beforeAutospacing="1" w:after="220"/>
        <w:jc w:val="both"/>
        <w:rPr>
          <w:rFonts w:cs="Arial"/>
        </w:rPr>
      </w:pPr>
      <w:r w:rsidRPr="00DA1558">
        <w:rPr>
          <w:rFonts w:cs="Arial"/>
        </w:rPr>
        <w:t>should not report the reinsurance commi</w:t>
      </w:r>
      <w:r w:rsidR="00DA1558">
        <w:rPr>
          <w:rFonts w:cs="Arial"/>
        </w:rPr>
        <w:t>ssion charge within this return; and,</w:t>
      </w:r>
    </w:p>
    <w:p w:rsidR="00DA1558" w:rsidRPr="00DA1558" w:rsidRDefault="00DA1558" w:rsidP="00DA1558">
      <w:pPr>
        <w:pStyle w:val="ListParagraph"/>
        <w:numPr>
          <w:ilvl w:val="0"/>
          <w:numId w:val="54"/>
        </w:numPr>
        <w:rPr>
          <w:rFonts w:cs="Arial"/>
        </w:rPr>
      </w:pPr>
      <w:r w:rsidRPr="00DA1558">
        <w:rPr>
          <w:rFonts w:cs="Arial"/>
        </w:rPr>
        <w:t xml:space="preserve">should not report SPAs syndicate plan as they are not allowed </w:t>
      </w:r>
      <w:r>
        <w:rPr>
          <w:rFonts w:cs="Arial"/>
        </w:rPr>
        <w:t>to write though Lloyd’s Europe.</w:t>
      </w:r>
    </w:p>
    <w:p w:rsidR="00B57AE4" w:rsidRPr="00EA4E25" w:rsidRDefault="00B57AE4" w:rsidP="00A00AB6">
      <w:pPr>
        <w:rPr>
          <w:rFonts w:cs="Arial"/>
          <w:szCs w:val="22"/>
        </w:rPr>
      </w:pPr>
    </w:p>
    <w:p w:rsidR="00B070DA" w:rsidRPr="00EA4E25" w:rsidRDefault="00061345" w:rsidP="00AE1E77">
      <w:pPr>
        <w:pStyle w:val="Heading2"/>
        <w:tabs>
          <w:tab w:val="clear" w:pos="360"/>
          <w:tab w:val="num" w:pos="-142"/>
          <w:tab w:val="num" w:pos="851"/>
        </w:tabs>
        <w:ind w:left="1134" w:hanging="1134"/>
        <w:rPr>
          <w:color w:val="auto"/>
          <w:sz w:val="24"/>
          <w:szCs w:val="24"/>
        </w:rPr>
      </w:pPr>
      <w:r w:rsidRPr="00EA4E25">
        <w:rPr>
          <w:color w:val="auto"/>
          <w:sz w:val="24"/>
          <w:szCs w:val="24"/>
        </w:rPr>
        <w:t xml:space="preserve">   </w:t>
      </w:r>
      <w:r w:rsidR="00B070DA" w:rsidRPr="00EA4E25">
        <w:rPr>
          <w:color w:val="auto"/>
          <w:sz w:val="24"/>
          <w:szCs w:val="24"/>
        </w:rPr>
        <w:t>Multi-Year Policies</w:t>
      </w:r>
    </w:p>
    <w:p w:rsidR="005A53CA" w:rsidRPr="00EA4E25" w:rsidRDefault="00294338" w:rsidP="00AE1E77">
      <w:pPr>
        <w:pStyle w:val="Heading3"/>
        <w:tabs>
          <w:tab w:val="clear" w:pos="851"/>
          <w:tab w:val="num" w:pos="1134"/>
          <w:tab w:val="left" w:pos="1170"/>
        </w:tabs>
        <w:ind w:left="1134" w:hanging="1134"/>
      </w:pPr>
      <w:r w:rsidRPr="00EA4E25">
        <w:t xml:space="preserve">It is Lloyd’s expectation that </w:t>
      </w:r>
      <w:r w:rsidR="009B548A" w:rsidRPr="00EA4E25">
        <w:t xml:space="preserve">policy periods do not exceed 12. </w:t>
      </w:r>
      <w:r w:rsidR="00B21D3C" w:rsidRPr="00EA4E25">
        <w:t>However,</w:t>
      </w:r>
      <w:r w:rsidR="009B548A" w:rsidRPr="00EA4E25">
        <w:t xml:space="preserve"> it is a</w:t>
      </w:r>
      <w:r w:rsidRPr="00EA4E25">
        <w:t>ck</w:t>
      </w:r>
      <w:r w:rsidR="00677FE1" w:rsidRPr="00EA4E25">
        <w:t>now</w:t>
      </w:r>
      <w:r w:rsidRPr="00EA4E25">
        <w:t>ledge</w:t>
      </w:r>
      <w:r w:rsidR="009B548A" w:rsidRPr="00EA4E25">
        <w:t>d</w:t>
      </w:r>
      <w:r w:rsidRPr="00EA4E25">
        <w:t xml:space="preserve"> that there </w:t>
      </w:r>
      <w:r w:rsidR="009B548A" w:rsidRPr="00EA4E25">
        <w:t>may</w:t>
      </w:r>
      <w:r w:rsidRPr="00EA4E25">
        <w:t xml:space="preserve"> be exceptions</w:t>
      </w:r>
      <w:r w:rsidR="009B548A" w:rsidRPr="00EA4E25">
        <w:t xml:space="preserve">. In these </w:t>
      </w:r>
      <w:r w:rsidR="00B21D3C" w:rsidRPr="00EA4E25">
        <w:t>instances,</w:t>
      </w:r>
      <w:r w:rsidR="009B548A" w:rsidRPr="00EA4E25">
        <w:t xml:space="preserve"> </w:t>
      </w:r>
      <w:r w:rsidRPr="00EA4E25">
        <w:t>refer</w:t>
      </w:r>
      <w:r w:rsidR="009B548A" w:rsidRPr="00EA4E25">
        <w:t xml:space="preserve">ence should be made to </w:t>
      </w:r>
      <w:r w:rsidRPr="00EA4E25">
        <w:t xml:space="preserve">the Chairman’s Strategy Guidelines (CSG) wording: </w:t>
      </w:r>
    </w:p>
    <w:p w:rsidR="00294338" w:rsidRPr="00EA4E25" w:rsidRDefault="00294338" w:rsidP="006655BE">
      <w:pPr>
        <w:tabs>
          <w:tab w:val="left" w:pos="1701"/>
        </w:tabs>
        <w:ind w:left="1701" w:hanging="567"/>
        <w:rPr>
          <w:color w:val="000000"/>
        </w:rPr>
      </w:pPr>
      <w:r w:rsidRPr="00EA4E25">
        <w:rPr>
          <w:color w:val="000000"/>
        </w:rPr>
        <w:t xml:space="preserve">a) </w:t>
      </w:r>
      <w:r w:rsidR="006655BE" w:rsidRPr="00EA4E25">
        <w:rPr>
          <w:color w:val="000000"/>
        </w:rPr>
        <w:tab/>
      </w:r>
      <w:r w:rsidR="005E392F" w:rsidRPr="00EA4E25">
        <w:rPr>
          <w:color w:val="000000"/>
        </w:rPr>
        <w:t>Non-cancellable</w:t>
      </w:r>
      <w:r w:rsidRPr="00EA4E25">
        <w:rPr>
          <w:color w:val="000000"/>
        </w:rPr>
        <w:t xml:space="preserve"> policies covering a period of greater than 18 months should be recorded as multi-</w:t>
      </w:r>
      <w:r w:rsidR="00B4045C" w:rsidRPr="00EA4E25">
        <w:rPr>
          <w:color w:val="000000"/>
        </w:rPr>
        <w:t>year policies</w:t>
      </w:r>
      <w:r w:rsidRPr="00EA4E25">
        <w:rPr>
          <w:color w:val="000000"/>
        </w:rPr>
        <w:t xml:space="preserve">. </w:t>
      </w:r>
    </w:p>
    <w:p w:rsidR="005A53CA" w:rsidRPr="00EA4E25" w:rsidRDefault="005A53CA" w:rsidP="006655BE">
      <w:pPr>
        <w:tabs>
          <w:tab w:val="left" w:pos="1134"/>
          <w:tab w:val="left" w:pos="1701"/>
        </w:tabs>
        <w:ind w:left="1134" w:hanging="1134"/>
        <w:rPr>
          <w:color w:val="000000"/>
        </w:rPr>
      </w:pPr>
    </w:p>
    <w:p w:rsidR="00294338" w:rsidRPr="00EA4E25" w:rsidRDefault="00294338" w:rsidP="006655BE">
      <w:pPr>
        <w:tabs>
          <w:tab w:val="left" w:pos="1701"/>
        </w:tabs>
        <w:ind w:left="1701" w:hanging="567"/>
        <w:rPr>
          <w:color w:val="000000"/>
        </w:rPr>
      </w:pPr>
      <w:r w:rsidRPr="00EA4E25">
        <w:rPr>
          <w:color w:val="000000"/>
        </w:rPr>
        <w:t xml:space="preserve">b) </w:t>
      </w:r>
      <w:r w:rsidR="005A53CA" w:rsidRPr="00EA4E25">
        <w:rPr>
          <w:color w:val="000000"/>
        </w:rPr>
        <w:tab/>
      </w:r>
      <w:r w:rsidRPr="00EA4E25">
        <w:rPr>
          <w:color w:val="000000"/>
        </w:rPr>
        <w:t>Multi-year policies should either have matching reinsurance cover</w:t>
      </w:r>
      <w:r w:rsidR="00B443E8" w:rsidRPr="00EA4E25">
        <w:rPr>
          <w:color w:val="000000"/>
        </w:rPr>
        <w:t>*</w:t>
      </w:r>
      <w:r w:rsidRPr="00EA4E25">
        <w:rPr>
          <w:color w:val="000000"/>
        </w:rPr>
        <w:t xml:space="preserve"> or be limited to the agreed maximum net exposure to the </w:t>
      </w:r>
      <w:r w:rsidR="00B96092" w:rsidRPr="00EA4E25">
        <w:rPr>
          <w:color w:val="000000"/>
        </w:rPr>
        <w:t>class of business</w:t>
      </w:r>
      <w:r w:rsidRPr="00EA4E25">
        <w:rPr>
          <w:color w:val="000000"/>
        </w:rPr>
        <w:t xml:space="preserve"> as set out in the syndicate’s business plan. </w:t>
      </w:r>
    </w:p>
    <w:p w:rsidR="00294338" w:rsidRPr="00EA4E25" w:rsidRDefault="00294338" w:rsidP="006655BE">
      <w:pPr>
        <w:tabs>
          <w:tab w:val="left" w:pos="1134"/>
        </w:tabs>
        <w:ind w:left="1134"/>
        <w:rPr>
          <w:color w:val="000000"/>
        </w:rPr>
      </w:pPr>
    </w:p>
    <w:p w:rsidR="00B443E8" w:rsidRPr="00EA4E25" w:rsidRDefault="00235165" w:rsidP="006655BE">
      <w:pPr>
        <w:ind w:left="1134"/>
        <w:rPr>
          <w:color w:val="000000"/>
        </w:rPr>
      </w:pPr>
      <w:r>
        <w:rPr>
          <w:color w:val="000000"/>
        </w:rPr>
        <w:t>*</w:t>
      </w:r>
      <w:r w:rsidR="00B443E8" w:rsidRPr="00EA4E25">
        <w:rPr>
          <w:color w:val="000000"/>
        </w:rPr>
        <w:t xml:space="preserve">matching reinsurance is expected to match </w:t>
      </w:r>
      <w:r w:rsidR="000A2554" w:rsidRPr="00EA4E25">
        <w:rPr>
          <w:color w:val="000000"/>
        </w:rPr>
        <w:t>regarding</w:t>
      </w:r>
      <w:r w:rsidR="00B443E8" w:rsidRPr="00EA4E25">
        <w:rPr>
          <w:color w:val="000000"/>
        </w:rPr>
        <w:t xml:space="preserve"> period, coverage and terms both vertically and horizontally.</w:t>
      </w:r>
    </w:p>
    <w:p w:rsidR="00B443E8" w:rsidRPr="00EA4E25" w:rsidRDefault="00B443E8" w:rsidP="006655BE">
      <w:pPr>
        <w:ind w:left="1134"/>
        <w:rPr>
          <w:color w:val="000000"/>
        </w:rPr>
      </w:pPr>
    </w:p>
    <w:p w:rsidR="001A1029" w:rsidRPr="00EA4E25" w:rsidRDefault="00294338" w:rsidP="006655BE">
      <w:pPr>
        <w:ind w:left="1134"/>
        <w:rPr>
          <w:color w:val="000000"/>
        </w:rPr>
      </w:pPr>
      <w:r w:rsidRPr="00EA4E25">
        <w:rPr>
          <w:color w:val="000000"/>
        </w:rPr>
        <w:t xml:space="preserve">For each </w:t>
      </w:r>
      <w:r w:rsidR="00B96092" w:rsidRPr="00EA4E25">
        <w:rPr>
          <w:color w:val="000000"/>
        </w:rPr>
        <w:t>class of business</w:t>
      </w:r>
      <w:r w:rsidRPr="00EA4E25">
        <w:rPr>
          <w:color w:val="000000"/>
        </w:rPr>
        <w:t xml:space="preserve"> in form </w:t>
      </w:r>
      <w:r w:rsidR="00DE2E85" w:rsidRPr="00EA4E25">
        <w:rPr>
          <w:color w:val="000000"/>
        </w:rPr>
        <w:t>SBF</w:t>
      </w:r>
      <w:r w:rsidRPr="00EA4E25">
        <w:rPr>
          <w:color w:val="000000"/>
        </w:rPr>
        <w:t xml:space="preserve">105, please provide details of those policies which are written on a multi-year basis with an explanation of how the </w:t>
      </w:r>
      <w:r w:rsidR="009B548A" w:rsidRPr="00EA4E25">
        <w:rPr>
          <w:color w:val="000000"/>
        </w:rPr>
        <w:t>F</w:t>
      </w:r>
      <w:r w:rsidRPr="00EA4E25">
        <w:rPr>
          <w:color w:val="000000"/>
        </w:rPr>
        <w:t xml:space="preserve">ranchise </w:t>
      </w:r>
      <w:r w:rsidR="009B548A" w:rsidRPr="00EA4E25">
        <w:rPr>
          <w:color w:val="000000"/>
        </w:rPr>
        <w:t>G</w:t>
      </w:r>
      <w:r w:rsidRPr="00EA4E25">
        <w:rPr>
          <w:color w:val="000000"/>
        </w:rPr>
        <w:t xml:space="preserve">uidelines are being met, and whether the premium for these policies is expected to increase or decrease. </w:t>
      </w:r>
    </w:p>
    <w:p w:rsidR="001A1029" w:rsidRPr="00EA4E25" w:rsidRDefault="001A1029" w:rsidP="006655BE">
      <w:pPr>
        <w:ind w:left="1134"/>
        <w:rPr>
          <w:color w:val="000000"/>
        </w:rPr>
      </w:pPr>
    </w:p>
    <w:p w:rsidR="00294338" w:rsidRPr="00EA4E25" w:rsidRDefault="001A1029" w:rsidP="006655BE">
      <w:pPr>
        <w:ind w:left="1134"/>
        <w:rPr>
          <w:color w:val="000000"/>
        </w:rPr>
      </w:pPr>
      <w:r w:rsidRPr="00EA4E25">
        <w:rPr>
          <w:color w:val="000000"/>
        </w:rPr>
        <w:t>If the syndicate requires a Franchise Guideline dispensation</w:t>
      </w:r>
      <w:r w:rsidRPr="00EA4E25">
        <w:t xml:space="preserve"> the syndicate is required to provide details of the business objective / rationale to support the dispensation request, </w:t>
      </w:r>
      <w:r w:rsidRPr="00EA4E25">
        <w:rPr>
          <w:color w:val="000000"/>
        </w:rPr>
        <w:t xml:space="preserve">  </w:t>
      </w:r>
      <w:r w:rsidR="00294338" w:rsidRPr="00EA4E25">
        <w:rPr>
          <w:color w:val="000000"/>
        </w:rPr>
        <w:t xml:space="preserve"> </w:t>
      </w:r>
    </w:p>
    <w:p w:rsidR="00627D52" w:rsidRPr="00EA4E25" w:rsidRDefault="00627D52" w:rsidP="008006D6">
      <w:pPr>
        <w:pStyle w:val="Heading3"/>
        <w:numPr>
          <w:ilvl w:val="0"/>
          <w:numId w:val="0"/>
        </w:numPr>
        <w:tabs>
          <w:tab w:val="left" w:pos="1134"/>
        </w:tabs>
        <w:ind w:left="1134" w:hanging="1134"/>
        <w:jc w:val="center"/>
      </w:pPr>
    </w:p>
    <w:p w:rsidR="003D2FFA" w:rsidRPr="00B82CA4" w:rsidRDefault="00061345" w:rsidP="00241A75">
      <w:pPr>
        <w:pStyle w:val="Heading2"/>
        <w:tabs>
          <w:tab w:val="num" w:pos="851"/>
        </w:tabs>
        <w:ind w:left="1134" w:hanging="1134"/>
        <w:rPr>
          <w:color w:val="auto"/>
          <w:sz w:val="24"/>
          <w:szCs w:val="24"/>
        </w:rPr>
      </w:pPr>
      <w:bookmarkStart w:id="151" w:name="_Toc89826887"/>
      <w:bookmarkStart w:id="152" w:name="_Toc95271086"/>
      <w:r w:rsidRPr="00EA4E25">
        <w:rPr>
          <w:color w:val="auto"/>
          <w:sz w:val="24"/>
          <w:szCs w:val="24"/>
        </w:rPr>
        <w:t xml:space="preserve">    </w:t>
      </w:r>
      <w:r w:rsidR="00E83B86" w:rsidRPr="00B82CA4">
        <w:rPr>
          <w:color w:val="auto"/>
          <w:sz w:val="24"/>
          <w:szCs w:val="24"/>
        </w:rPr>
        <w:t>Supplementary Information</w:t>
      </w:r>
    </w:p>
    <w:p w:rsidR="00E83B86" w:rsidRPr="00B82CA4" w:rsidRDefault="00E83B86" w:rsidP="00235165">
      <w:pPr>
        <w:pStyle w:val="Heading3"/>
        <w:tabs>
          <w:tab w:val="clear" w:pos="851"/>
          <w:tab w:val="left" w:pos="1134"/>
        </w:tabs>
        <w:ind w:hanging="1288"/>
      </w:pPr>
      <w:r w:rsidRPr="00B82CA4">
        <w:t>You may need to provide supplementary information to support your business plan.</w:t>
      </w:r>
    </w:p>
    <w:p w:rsidR="00270843" w:rsidRPr="00B82CA4" w:rsidRDefault="00061345" w:rsidP="00241A75">
      <w:pPr>
        <w:pStyle w:val="Heading2"/>
        <w:tabs>
          <w:tab w:val="num" w:pos="851"/>
        </w:tabs>
        <w:ind w:left="1134" w:hanging="1134"/>
        <w:rPr>
          <w:color w:val="auto"/>
          <w:sz w:val="24"/>
          <w:szCs w:val="24"/>
        </w:rPr>
      </w:pPr>
      <w:r w:rsidRPr="00B82CA4">
        <w:rPr>
          <w:color w:val="auto"/>
          <w:sz w:val="24"/>
          <w:szCs w:val="24"/>
        </w:rPr>
        <w:t xml:space="preserve">    </w:t>
      </w:r>
      <w:r w:rsidR="00270843" w:rsidRPr="00B82CA4">
        <w:rPr>
          <w:color w:val="auto"/>
          <w:sz w:val="24"/>
          <w:szCs w:val="24"/>
        </w:rPr>
        <w:t>Underwriting of war, civil war and related perils</w:t>
      </w:r>
    </w:p>
    <w:p w:rsidR="00270843" w:rsidRPr="00B82CA4" w:rsidRDefault="00270843" w:rsidP="0004524F">
      <w:pPr>
        <w:pStyle w:val="Heading3"/>
        <w:tabs>
          <w:tab w:val="clear" w:pos="851"/>
          <w:tab w:val="left" w:pos="1134"/>
        </w:tabs>
        <w:ind w:left="1134" w:hanging="1134"/>
      </w:pPr>
      <w:r w:rsidRPr="00B82CA4">
        <w:t>Permission to underwrite:  Syndicates planning to underwrite policies that cover War and/or NCBR (including incidentally) are required to gain Lloyd's specific approval in advance.</w:t>
      </w:r>
    </w:p>
    <w:p w:rsidR="00270843" w:rsidRPr="00B82CA4" w:rsidRDefault="00270843" w:rsidP="00270843">
      <w:pPr>
        <w:pStyle w:val="Heading3"/>
        <w:numPr>
          <w:ilvl w:val="0"/>
          <w:numId w:val="0"/>
        </w:numPr>
        <w:ind w:left="1146"/>
      </w:pPr>
      <w:r w:rsidRPr="00B82CA4">
        <w:t>This will normally form part of the Capital &amp; Planning Process, although it also applies to mid-year changes of plan.</w:t>
      </w:r>
    </w:p>
    <w:p w:rsidR="00270843" w:rsidRPr="00EA4E25" w:rsidRDefault="00270843" w:rsidP="00270843">
      <w:pPr>
        <w:pStyle w:val="Heading3"/>
        <w:numPr>
          <w:ilvl w:val="0"/>
          <w:numId w:val="0"/>
        </w:numPr>
        <w:ind w:left="1146"/>
      </w:pPr>
      <w:r w:rsidRPr="00B82CA4">
        <w:t xml:space="preserve">Rather than add a new element to the SBF return in </w:t>
      </w:r>
      <w:r w:rsidR="002711B0" w:rsidRPr="00B82CA4">
        <w:rPr>
          <w:rFonts w:cs="Arial"/>
        </w:rPr>
        <w:t>Market Data Collections</w:t>
      </w:r>
      <w:r w:rsidRPr="00B82CA4">
        <w:t>, Lloyd's has created a separate War and NCBR template. As with the SBF itself, all syndicates should submit the template regardless of whether permission to write War and NCBR perils is being sought. The ‘Nil return’ check box should be used where no War or NCBR exposure is planned.</w:t>
      </w:r>
    </w:p>
    <w:p w:rsidR="00E42CAB" w:rsidRPr="00EA4E25" w:rsidRDefault="00E42CAB" w:rsidP="00270843">
      <w:pPr>
        <w:pStyle w:val="Heading3"/>
        <w:numPr>
          <w:ilvl w:val="0"/>
          <w:numId w:val="0"/>
        </w:numPr>
        <w:ind w:left="1146"/>
      </w:pPr>
      <w:r w:rsidRPr="00EA4E25">
        <w:t xml:space="preserve">Lloyd’s </w:t>
      </w:r>
      <w:r w:rsidRPr="00235165">
        <w:rPr>
          <w:color w:val="auto"/>
        </w:rPr>
        <w:t xml:space="preserve">will be comparing the forecast aggregates by region to the information you provide for in-force aggregates with the </w:t>
      </w:r>
      <w:r w:rsidR="002779CA" w:rsidRPr="00235165">
        <w:rPr>
          <w:color w:val="auto"/>
        </w:rPr>
        <w:t>20</w:t>
      </w:r>
      <w:r w:rsidR="00AB0402" w:rsidRPr="00235165">
        <w:rPr>
          <w:color w:val="auto"/>
        </w:rPr>
        <w:t>20</w:t>
      </w:r>
      <w:r w:rsidRPr="00235165">
        <w:rPr>
          <w:color w:val="auto"/>
        </w:rPr>
        <w:t xml:space="preserve"> RDS return as part of Supplementary Information.</w:t>
      </w:r>
    </w:p>
    <w:p w:rsidR="00A7016D" w:rsidRPr="00235165" w:rsidRDefault="00270843" w:rsidP="006721D6">
      <w:pPr>
        <w:pStyle w:val="Heading3"/>
        <w:tabs>
          <w:tab w:val="clear" w:pos="851"/>
          <w:tab w:val="num" w:pos="0"/>
          <w:tab w:val="num" w:pos="1134"/>
        </w:tabs>
        <w:ind w:left="1134" w:hanging="1134"/>
        <w:rPr>
          <w:color w:val="auto"/>
        </w:rPr>
      </w:pPr>
      <w:r w:rsidRPr="006442F4">
        <w:t xml:space="preserve">Accumulation Risk: Lloyd’s requires syndicates to understand and monitor potential accumulation risk arising from War and NCBR exposures. (Please refer to market bulletin Y4972 published on 1 March </w:t>
      </w:r>
      <w:r w:rsidR="002779CA" w:rsidRPr="00235165">
        <w:rPr>
          <w:color w:val="auto"/>
        </w:rPr>
        <w:t>201</w:t>
      </w:r>
      <w:r w:rsidRPr="00235165">
        <w:rPr>
          <w:color w:val="auto"/>
        </w:rPr>
        <w:t>6.)</w:t>
      </w:r>
      <w:r w:rsidR="00F87C16" w:rsidRPr="00235165">
        <w:rPr>
          <w:color w:val="auto"/>
        </w:rPr>
        <w:t xml:space="preserve"> The template includes forecast War/NCBR aggregate exposures by defined region.</w:t>
      </w:r>
      <w:r w:rsidR="00A7016D" w:rsidRPr="00235165">
        <w:rPr>
          <w:color w:val="auto"/>
        </w:rPr>
        <w:t xml:space="preserve"> </w:t>
      </w:r>
    </w:p>
    <w:p w:rsidR="00A7016D" w:rsidRPr="006442F4" w:rsidRDefault="00A7016D" w:rsidP="00820BE9">
      <w:pPr>
        <w:pStyle w:val="Heading3"/>
        <w:numPr>
          <w:ilvl w:val="0"/>
          <w:numId w:val="0"/>
        </w:numPr>
        <w:ind w:left="1146"/>
      </w:pPr>
      <w:r w:rsidRPr="00235165">
        <w:rPr>
          <w:color w:val="auto"/>
        </w:rPr>
        <w:t>Documentation: Both the War/NCBR template itself and the related Guidance &amp; Instructions will be sent to sy</w:t>
      </w:r>
      <w:r w:rsidR="00F25871" w:rsidRPr="00235165">
        <w:rPr>
          <w:color w:val="auto"/>
        </w:rPr>
        <w:t xml:space="preserve">ndicates </w:t>
      </w:r>
      <w:r w:rsidR="00504328" w:rsidRPr="00235165">
        <w:rPr>
          <w:color w:val="auto"/>
        </w:rPr>
        <w:t>by the end of</w:t>
      </w:r>
      <w:r w:rsidR="00F25871" w:rsidRPr="00235165">
        <w:rPr>
          <w:color w:val="auto"/>
        </w:rPr>
        <w:t xml:space="preserve"> July </w:t>
      </w:r>
      <w:r w:rsidR="002779CA" w:rsidRPr="00235165">
        <w:rPr>
          <w:color w:val="auto"/>
        </w:rPr>
        <w:t>20</w:t>
      </w:r>
      <w:r w:rsidR="00AB0402" w:rsidRPr="00235165">
        <w:rPr>
          <w:color w:val="auto"/>
        </w:rPr>
        <w:t>19</w:t>
      </w:r>
      <w:r w:rsidRPr="00235165">
        <w:rPr>
          <w:color w:val="auto"/>
        </w:rPr>
        <w:t xml:space="preserve">. Extra </w:t>
      </w:r>
      <w:r w:rsidRPr="006442F4">
        <w:t>copies are available from Lloyd's Risk Aggregation (</w:t>
      </w:r>
      <w:hyperlink r:id="rId29" w:history="1">
        <w:r w:rsidRPr="006442F4">
          <w:rPr>
            <w:rStyle w:val="Hyperlink"/>
          </w:rPr>
          <w:t>steven.champion@lloyds.com</w:t>
        </w:r>
      </w:hyperlink>
      <w:r w:rsidRPr="006442F4">
        <w:t xml:space="preserve"> Ph: 0207 327 5983). The document references are:</w:t>
      </w:r>
    </w:p>
    <w:p w:rsidR="00872F0F" w:rsidRPr="006442F4" w:rsidRDefault="00A7016D" w:rsidP="00A7016D">
      <w:pPr>
        <w:pStyle w:val="Heading3"/>
        <w:numPr>
          <w:ilvl w:val="0"/>
          <w:numId w:val="0"/>
        </w:numPr>
        <w:ind w:left="1146"/>
      </w:pPr>
      <w:r w:rsidRPr="006442F4">
        <w:t>War/NCBR submission template</w:t>
      </w:r>
      <w:r w:rsidRPr="006442F4">
        <w:tab/>
      </w:r>
      <w:r w:rsidR="00F25871" w:rsidRPr="006442F4">
        <w:t xml:space="preserve"> EM2</w:t>
      </w:r>
      <w:r w:rsidR="00DB2269">
        <w:t>79</w:t>
      </w:r>
    </w:p>
    <w:p w:rsidR="00A7016D" w:rsidRPr="00EA4E25" w:rsidRDefault="00A7016D" w:rsidP="00235165">
      <w:pPr>
        <w:pStyle w:val="Heading3"/>
        <w:numPr>
          <w:ilvl w:val="0"/>
          <w:numId w:val="0"/>
        </w:numPr>
        <w:ind w:left="1146"/>
      </w:pPr>
      <w:r w:rsidRPr="006442F4">
        <w:t>War/NC</w:t>
      </w:r>
      <w:r w:rsidR="00F25871" w:rsidRPr="006442F4">
        <w:t>BR Guidance &amp; Instructions EM2</w:t>
      </w:r>
      <w:r w:rsidR="00DB2269">
        <w:t>80</w:t>
      </w:r>
    </w:p>
    <w:p w:rsidR="00270843" w:rsidRDefault="00270843" w:rsidP="006721D6">
      <w:pPr>
        <w:pStyle w:val="Heading3"/>
        <w:tabs>
          <w:tab w:val="clear" w:pos="851"/>
          <w:tab w:val="num" w:pos="0"/>
          <w:tab w:val="left" w:pos="1134"/>
        </w:tabs>
        <w:ind w:left="1134" w:hanging="1146"/>
      </w:pPr>
      <w:r w:rsidRPr="00B82CA4">
        <w:t>Submission:  Syndicates should sub</w:t>
      </w:r>
      <w:r w:rsidRPr="00235165">
        <w:rPr>
          <w:color w:val="auto"/>
        </w:rPr>
        <w:t xml:space="preserve">mit the revised War/NCBR template via Secure Store </w:t>
      </w:r>
      <w:r w:rsidR="00FB287E" w:rsidRPr="00235165">
        <w:rPr>
          <w:rFonts w:cs="Arial"/>
        </w:rPr>
        <w:t xml:space="preserve">within </w:t>
      </w:r>
      <w:r w:rsidR="00FB287E">
        <w:rPr>
          <w:rFonts w:cs="Arial"/>
        </w:rPr>
        <w:t xml:space="preserve">the </w:t>
      </w:r>
      <w:r w:rsidR="00FB287E" w:rsidRPr="00235165">
        <w:rPr>
          <w:rFonts w:cs="Arial"/>
        </w:rPr>
        <w:t>“</w:t>
      </w:r>
      <w:r w:rsidR="00FB287E">
        <w:t>Lloyd’s Catastrophe Model/2020 CPG</w:t>
      </w:r>
      <w:r w:rsidR="00FB287E" w:rsidRPr="00235165">
        <w:rPr>
          <w:rFonts w:cs="Arial"/>
        </w:rPr>
        <w:t xml:space="preserve">” folder </w:t>
      </w:r>
      <w:r w:rsidR="00FB287E">
        <w:rPr>
          <w:rFonts w:cs="Arial"/>
        </w:rPr>
        <w:t xml:space="preserve">(see below) </w:t>
      </w:r>
      <w:r w:rsidRPr="00235165">
        <w:rPr>
          <w:color w:val="auto"/>
        </w:rPr>
        <w:t xml:space="preserve">at the </w:t>
      </w:r>
      <w:r w:rsidR="00522785" w:rsidRPr="00235165">
        <w:rPr>
          <w:color w:val="auto"/>
        </w:rPr>
        <w:t xml:space="preserve">same time as submitting the </w:t>
      </w:r>
      <w:r w:rsidR="002779CA" w:rsidRPr="00235165">
        <w:rPr>
          <w:color w:val="auto"/>
        </w:rPr>
        <w:t>20</w:t>
      </w:r>
      <w:r w:rsidR="00AB0402" w:rsidRPr="00235165">
        <w:rPr>
          <w:color w:val="auto"/>
        </w:rPr>
        <w:t>20</w:t>
      </w:r>
      <w:r w:rsidRPr="00235165">
        <w:rPr>
          <w:color w:val="auto"/>
        </w:rPr>
        <w:t xml:space="preserve"> SBF through </w:t>
      </w:r>
      <w:r w:rsidR="002711B0" w:rsidRPr="00B82CA4">
        <w:t>MDC</w:t>
      </w:r>
      <w:r w:rsidRPr="00B82CA4">
        <w:t xml:space="preserve">. </w:t>
      </w:r>
    </w:p>
    <w:p w:rsidR="00FB287E" w:rsidRDefault="00FB287E" w:rsidP="00FB287E">
      <w:pPr>
        <w:pStyle w:val="Heading3"/>
        <w:numPr>
          <w:ilvl w:val="0"/>
          <w:numId w:val="0"/>
        </w:numPr>
        <w:tabs>
          <w:tab w:val="clear" w:pos="851"/>
          <w:tab w:val="left" w:pos="1134"/>
          <w:tab w:val="num" w:pos="1288"/>
        </w:tabs>
        <w:ind w:left="1134"/>
      </w:pPr>
      <w:r>
        <w:rPr>
          <w:noProof/>
        </w:rPr>
        <mc:AlternateContent>
          <mc:Choice Requires="wps">
            <w:drawing>
              <wp:anchor distT="0" distB="0" distL="114300" distR="114300" simplePos="0" relativeHeight="251661312" behindDoc="0" locked="0" layoutInCell="1" allowOverlap="1" wp14:anchorId="09E2FC76" wp14:editId="763306A7">
                <wp:simplePos x="0" y="0"/>
                <wp:positionH relativeFrom="column">
                  <wp:posOffset>809950</wp:posOffset>
                </wp:positionH>
                <wp:positionV relativeFrom="paragraph">
                  <wp:posOffset>291465</wp:posOffset>
                </wp:positionV>
                <wp:extent cx="1137684" cy="219075"/>
                <wp:effectExtent l="0" t="0" r="24765" b="28575"/>
                <wp:wrapNone/>
                <wp:docPr id="31" name="Rectangle 31"/>
                <wp:cNvGraphicFramePr/>
                <a:graphic xmlns:a="http://schemas.openxmlformats.org/drawingml/2006/main">
                  <a:graphicData uri="http://schemas.microsoft.com/office/word/2010/wordprocessingShape">
                    <wps:wsp>
                      <wps:cNvSpPr/>
                      <wps:spPr>
                        <a:xfrm>
                          <a:off x="0" y="0"/>
                          <a:ext cx="1137684" cy="219075"/>
                        </a:xfrm>
                        <a:prstGeom prst="rect">
                          <a:avLst/>
                        </a:prstGeom>
                        <a:noFill/>
                        <a:ln>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4C74B" id="Rectangle 31" o:spid="_x0000_s1026" style="position:absolute;margin-left:63.8pt;margin-top:22.95pt;width:89.6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" filled="f" strokecolor="red" strokeweight="2pt">
                <v:stroke dashstyle="1 1"/>
              </v:rect>
            </w:pict>
          </mc:Fallback>
        </mc:AlternateContent>
      </w:r>
      <w:r>
        <w:rPr>
          <w:noProof/>
        </w:rPr>
        <w:drawing>
          <wp:inline distT="0" distB="0" distL="0" distR="0" wp14:anchorId="28D43269" wp14:editId="00209BA9">
            <wp:extent cx="1934845" cy="1658620"/>
            <wp:effectExtent l="0" t="0" r="8255" b="0"/>
            <wp:docPr id="28" name="Picture 28" descr="cid:image001.png@01D52C2F.30BA7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30BA79F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934845" cy="1658620"/>
                    </a:xfrm>
                    <a:prstGeom prst="rect">
                      <a:avLst/>
                    </a:prstGeom>
                    <a:noFill/>
                    <a:ln>
                      <a:noFill/>
                    </a:ln>
                  </pic:spPr>
                </pic:pic>
              </a:graphicData>
            </a:graphic>
          </wp:inline>
        </w:drawing>
      </w:r>
    </w:p>
    <w:p w:rsidR="009131F9" w:rsidRDefault="009131F9" w:rsidP="009131F9">
      <w:bookmarkStart w:id="153" w:name="_Toc264275417"/>
    </w:p>
    <w:p w:rsidR="00FB287E" w:rsidRPr="00B82CA4" w:rsidRDefault="00FB287E" w:rsidP="009131F9"/>
    <w:p w:rsidR="00CC42C9" w:rsidRPr="00B82CA4" w:rsidRDefault="00A64A6F" w:rsidP="00B57AE4">
      <w:pPr>
        <w:pStyle w:val="Heading2"/>
        <w:numPr>
          <w:ilvl w:val="0"/>
          <w:numId w:val="0"/>
        </w:numPr>
        <w:ind w:left="1134" w:hanging="1134"/>
      </w:pPr>
      <w:r w:rsidRPr="00B82CA4">
        <w:t>R</w:t>
      </w:r>
      <w:r w:rsidR="00CC42C9" w:rsidRPr="00B82CA4">
        <w:t>ISK CODE</w:t>
      </w:r>
      <w:bookmarkEnd w:id="151"/>
      <w:bookmarkEnd w:id="152"/>
      <w:r w:rsidR="00D71451" w:rsidRPr="00B82CA4">
        <w:t>S</w:t>
      </w:r>
      <w:bookmarkEnd w:id="153"/>
    </w:p>
    <w:p w:rsidR="00AB669B" w:rsidRPr="00B82CA4" w:rsidRDefault="00AB669B">
      <w:pPr>
        <w:tabs>
          <w:tab w:val="left" w:pos="1134"/>
        </w:tabs>
        <w:ind w:left="1134"/>
      </w:pPr>
      <w:r w:rsidRPr="00B82CA4">
        <w:t xml:space="preserve">The </w:t>
      </w:r>
      <w:r w:rsidR="00B21D3C" w:rsidRPr="00B82CA4">
        <w:t>in-force</w:t>
      </w:r>
      <w:r w:rsidRPr="00B82CA4">
        <w:t xml:space="preserve"> risk codes list can be obtained from the Lloyd’s website</w:t>
      </w:r>
      <w:r w:rsidR="000B2FD1" w:rsidRPr="00B82CA4">
        <w:t>,</w:t>
      </w:r>
      <w:r w:rsidR="00E343D4" w:rsidRPr="00B82CA4">
        <w:t xml:space="preserve"> </w:t>
      </w:r>
      <w:hyperlink r:id="rId32" w:history="1">
        <w:r w:rsidR="000B2FD1" w:rsidRPr="00B82CA4">
          <w:rPr>
            <w:rStyle w:val="Hyperlink"/>
          </w:rPr>
          <w:t>www.lloyds.com</w:t>
        </w:r>
      </w:hyperlink>
      <w:r w:rsidR="000B2FD1" w:rsidRPr="00B82CA4">
        <w:t xml:space="preserve"> </w:t>
      </w:r>
    </w:p>
    <w:p w:rsidR="00F52A42" w:rsidRPr="00B82CA4" w:rsidRDefault="00F52A42">
      <w:pPr>
        <w:tabs>
          <w:tab w:val="left" w:pos="1134"/>
        </w:tabs>
        <w:ind w:left="1134"/>
      </w:pPr>
    </w:p>
    <w:p w:rsidR="00AB669B" w:rsidRPr="00B82CA4" w:rsidRDefault="00AB669B" w:rsidP="008006D6">
      <w:pPr>
        <w:tabs>
          <w:tab w:val="left" w:pos="1134"/>
        </w:tabs>
        <w:ind w:left="1134" w:hanging="1134"/>
      </w:pPr>
    </w:p>
    <w:p w:rsidR="00CC42C9" w:rsidRPr="00B82CA4" w:rsidRDefault="00CC42C9" w:rsidP="006A2524">
      <w:pPr>
        <w:pStyle w:val="Heading1"/>
        <w:tabs>
          <w:tab w:val="clear" w:pos="783"/>
          <w:tab w:val="num" w:pos="1134"/>
        </w:tabs>
        <w:ind w:hanging="786"/>
      </w:pPr>
      <w:bookmarkStart w:id="154" w:name="_Toc89826888"/>
      <w:bookmarkStart w:id="155" w:name="_Toc95271087"/>
      <w:bookmarkStart w:id="156" w:name="_Toc264275418"/>
      <w:bookmarkStart w:id="157" w:name="_Toc452126187"/>
      <w:r w:rsidRPr="00B82CA4">
        <w:t>COUNTRY LISTING</w:t>
      </w:r>
      <w:bookmarkEnd w:id="154"/>
      <w:bookmarkEnd w:id="155"/>
      <w:bookmarkEnd w:id="156"/>
      <w:bookmarkEnd w:id="157"/>
    </w:p>
    <w:tbl>
      <w:tblPr>
        <w:tblW w:w="9220" w:type="dxa"/>
        <w:tblInd w:w="98" w:type="dxa"/>
        <w:tblLook w:val="0000" w:firstRow="0" w:lastRow="0" w:firstColumn="0" w:lastColumn="0" w:noHBand="0" w:noVBand="0"/>
      </w:tblPr>
      <w:tblGrid>
        <w:gridCol w:w="2240"/>
        <w:gridCol w:w="2380"/>
        <w:gridCol w:w="3040"/>
        <w:gridCol w:w="1560"/>
      </w:tblGrid>
      <w:tr w:rsidR="006269B0" w:rsidRPr="00B82CA4" w:rsidTr="005A53CA">
        <w:trPr>
          <w:trHeight w:val="270"/>
          <w:tblHeader/>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269B0" w:rsidRPr="00B82CA4" w:rsidRDefault="006269B0" w:rsidP="008E26AA">
            <w:pPr>
              <w:tabs>
                <w:tab w:val="left" w:pos="1134"/>
              </w:tabs>
              <w:jc w:val="center"/>
              <w:rPr>
                <w:rFonts w:cs="Arial"/>
                <w:b/>
                <w:bCs/>
                <w:color w:val="000000"/>
                <w:sz w:val="20"/>
                <w:lang w:eastAsia="en-GB"/>
              </w:rPr>
            </w:pPr>
            <w:r w:rsidRPr="00B82CA4">
              <w:rPr>
                <w:rFonts w:cs="Arial"/>
                <w:b/>
                <w:bCs/>
                <w:color w:val="000000"/>
                <w:sz w:val="20"/>
                <w:lang w:eastAsia="en-GB"/>
              </w:rPr>
              <w:t>Country</w:t>
            </w:r>
          </w:p>
        </w:tc>
        <w:tc>
          <w:tcPr>
            <w:tcW w:w="2380" w:type="dxa"/>
            <w:tcBorders>
              <w:top w:val="single" w:sz="8" w:space="0" w:color="auto"/>
              <w:left w:val="nil"/>
              <w:bottom w:val="single" w:sz="8" w:space="0" w:color="auto"/>
              <w:right w:val="single" w:sz="8" w:space="0" w:color="auto"/>
            </w:tcBorders>
            <w:shd w:val="clear" w:color="auto" w:fill="auto"/>
            <w:noWrap/>
            <w:vAlign w:val="bottom"/>
          </w:tcPr>
          <w:p w:rsidR="006269B0" w:rsidRPr="00B82CA4" w:rsidRDefault="006269B0" w:rsidP="008E26AA">
            <w:pPr>
              <w:tabs>
                <w:tab w:val="left" w:pos="1134"/>
              </w:tabs>
              <w:jc w:val="center"/>
              <w:rPr>
                <w:rFonts w:cs="Arial"/>
                <w:b/>
                <w:bCs/>
                <w:color w:val="000000"/>
                <w:sz w:val="20"/>
                <w:lang w:eastAsia="en-GB"/>
              </w:rPr>
            </w:pPr>
            <w:r w:rsidRPr="00B82CA4">
              <w:rPr>
                <w:rFonts w:cs="Arial"/>
                <w:b/>
                <w:bCs/>
                <w:color w:val="000000"/>
                <w:sz w:val="20"/>
                <w:lang w:eastAsia="en-GB"/>
              </w:rPr>
              <w:t>Region</w:t>
            </w:r>
          </w:p>
        </w:tc>
        <w:tc>
          <w:tcPr>
            <w:tcW w:w="3040" w:type="dxa"/>
            <w:tcBorders>
              <w:top w:val="single" w:sz="8" w:space="0" w:color="auto"/>
              <w:left w:val="nil"/>
              <w:bottom w:val="single" w:sz="8" w:space="0" w:color="auto"/>
              <w:right w:val="single" w:sz="8" w:space="0" w:color="auto"/>
            </w:tcBorders>
            <w:shd w:val="clear" w:color="auto" w:fill="auto"/>
            <w:noWrap/>
            <w:vAlign w:val="bottom"/>
          </w:tcPr>
          <w:p w:rsidR="006269B0" w:rsidRPr="00B82CA4" w:rsidRDefault="006269B0" w:rsidP="008E26AA">
            <w:pPr>
              <w:tabs>
                <w:tab w:val="left" w:pos="1134"/>
              </w:tabs>
              <w:jc w:val="center"/>
              <w:rPr>
                <w:rFonts w:cs="Arial"/>
                <w:b/>
                <w:bCs/>
                <w:color w:val="000000"/>
                <w:sz w:val="20"/>
                <w:lang w:eastAsia="en-GB"/>
              </w:rPr>
            </w:pPr>
            <w:r w:rsidRPr="00B82CA4">
              <w:rPr>
                <w:rFonts w:cs="Arial"/>
                <w:b/>
                <w:bCs/>
                <w:color w:val="000000"/>
                <w:sz w:val="20"/>
                <w:lang w:eastAsia="en-GB"/>
              </w:rPr>
              <w:t>Sub-Region</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6269B0" w:rsidRPr="00B82CA4" w:rsidRDefault="006269B0" w:rsidP="008E26AA">
            <w:pPr>
              <w:tabs>
                <w:tab w:val="left" w:pos="1134"/>
              </w:tabs>
              <w:jc w:val="center"/>
              <w:rPr>
                <w:rFonts w:cs="Arial"/>
                <w:b/>
                <w:bCs/>
                <w:color w:val="000000"/>
                <w:sz w:val="20"/>
                <w:lang w:eastAsia="en-GB"/>
              </w:rPr>
            </w:pPr>
            <w:r w:rsidRPr="00B82CA4">
              <w:rPr>
                <w:rFonts w:cs="Arial"/>
                <w:b/>
                <w:bCs/>
                <w:color w:val="000000"/>
                <w:sz w:val="20"/>
                <w:lang w:eastAsia="en-GB"/>
              </w:rPr>
              <w:t>ISO-CODE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Afghanistan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AF</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Åland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AX</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Albania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Algeria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American Samoa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Andorra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Angola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Anguilla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Antartica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AQ</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Antigua and Barbuda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Argentina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Armenia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Aruba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Australia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Austria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Azerbaijan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Bahamas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Bahrain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Bangladesh</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Barbados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BB</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Belarus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Belgium</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Belize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Benin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BJ</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Bermuda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Bhutan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Bolivia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Bosnia and Herzegovina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Botswana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Bouvet Island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BV</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Brazil</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BR</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British Indian Ocean Territory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British Virgin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VG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Brunei Darussalam</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Bulgaria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Burkina Faso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BF</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Burundi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BI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Cambodia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Cameroon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Canada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Cape Verde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CV</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Cayman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African Republic</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CF</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Chad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TD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4C3B91" w:rsidP="008E26AA">
            <w:pPr>
              <w:tabs>
                <w:tab w:val="left" w:pos="1134"/>
              </w:tabs>
              <w:rPr>
                <w:rFonts w:cs="Arial"/>
                <w:color w:val="000000"/>
                <w:sz w:val="20"/>
                <w:lang w:eastAsia="en-GB"/>
              </w:rPr>
            </w:pPr>
            <w:r w:rsidRPr="00B82CA4">
              <w:rPr>
                <w:rFonts w:cs="Arial"/>
                <w:color w:val="000000"/>
                <w:sz w:val="20"/>
                <w:lang w:eastAsia="en-GB"/>
              </w:rPr>
              <w:t>Channel</w:t>
            </w:r>
            <w:r w:rsidR="006269B0" w:rsidRPr="00B82CA4">
              <w:rPr>
                <w:rFonts w:cs="Arial"/>
                <w:color w:val="000000"/>
                <w:sz w:val="20"/>
                <w:lang w:eastAsia="en-GB"/>
              </w:rPr>
              <w:t xml:space="preserve">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Chile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China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Christmas Island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CX</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Cocos (Keeling)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Colombia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Comoros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Congo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Cook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Costa Rica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Cote d'Ivoire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Croatia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Cuba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Cyprus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Czech Republic</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CZ</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Democratic People's Republic of Korea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KP</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Democratic Republic of the Congo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Denmark</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Djibouti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DJ</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Dominica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Dominican Republic</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Ecuador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Egypt</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El Salvador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SV</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Equatorial Guinea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GQ</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Eritrea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Estonia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Ethiopia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Faeroe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FO</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Falkland Islands (Malvinas)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Fiji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FJ</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Finland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France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French Guiana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GF</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French Polynesia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PF</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French Southern Territories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TF</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Gabon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Gambia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Georgia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Germany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DE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Ghana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Gibraltar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Greece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Greenland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Grenada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Guadeloupe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GP</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Guam</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Guatemala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Guernsey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Guinea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Guinea-Bissau</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Guyana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Haiti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HT</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Heard Island and McDonald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HM</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235165">
              <w:rPr>
                <w:rFonts w:cs="Arial"/>
                <w:sz w:val="20"/>
                <w:lang w:eastAsia="en-GB"/>
              </w:rPr>
              <w:t xml:space="preserve">Holy </w:t>
            </w:r>
            <w:r w:rsidR="00413569" w:rsidRPr="00235165">
              <w:rPr>
                <w:rFonts w:cs="Arial"/>
                <w:sz w:val="20"/>
                <w:lang w:eastAsia="en-GB"/>
              </w:rPr>
              <w:t>See</w:t>
            </w:r>
            <w:r w:rsidRPr="00235165">
              <w:rPr>
                <w:rFonts w:cs="Arial"/>
                <w:sz w:val="20"/>
                <w:lang w:eastAsia="en-GB"/>
              </w:rPr>
              <w:t xml:space="preserve"> (Vatican City State)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VA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Honduras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HN</w:t>
            </w:r>
          </w:p>
        </w:tc>
      </w:tr>
      <w:tr w:rsidR="006269B0" w:rsidRPr="00B82CA4">
        <w:trPr>
          <w:trHeight w:val="78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Hong Kong Special Administrative Region of China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Hungary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HU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Iceland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India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Indonesia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ID</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Iran (Islamic Republic of)</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Iraq</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IQ</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Ireland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Isle of Man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Israel</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Italy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IT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Jamaica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Japan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JP</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Jersey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Jordan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JO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Kazakhstan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Kenya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Kiribati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Kuwait</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Kyrgyzstan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KG</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Lao People's Democratic Republic</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Latvia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LV</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Lebanon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LB</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Lesotho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Liberia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Libyan Arab Jamahiriya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Liechtenstein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Lithuania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Luxembourg</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LU</w:t>
            </w:r>
          </w:p>
        </w:tc>
      </w:tr>
      <w:tr w:rsidR="006269B0" w:rsidRPr="00B82CA4" w:rsidTr="00235165">
        <w:trPr>
          <w:trHeight w:val="6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Macao Special Administrative Region of China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w:t>
            </w:r>
          </w:p>
        </w:tc>
      </w:tr>
      <w:tr w:rsidR="006269B0" w:rsidRPr="00B82CA4">
        <w:trPr>
          <w:trHeight w:val="78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Macedonia, The former Yugoslav Republic of Macedonia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Madagascar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Malawi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Malaysia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Maldives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MV</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Mali</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Malta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Marshall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Martinique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MQ</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Mauritania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Mauritius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Mayotte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YT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Mexico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MX</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Micronesia (Federated States of)</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FM</w:t>
            </w:r>
          </w:p>
        </w:tc>
      </w:tr>
      <w:tr w:rsidR="00942CDC"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Moldova</w:t>
            </w:r>
          </w:p>
        </w:tc>
        <w:tc>
          <w:tcPr>
            <w:tcW w:w="2380" w:type="dxa"/>
            <w:tcBorders>
              <w:top w:val="nil"/>
              <w:left w:val="nil"/>
              <w:bottom w:val="single" w:sz="8" w:space="0" w:color="auto"/>
              <w:right w:val="single" w:sz="8" w:space="0" w:color="auto"/>
            </w:tcBorders>
            <w:shd w:val="clear" w:color="auto" w:fill="auto"/>
            <w:vAlign w:val="bottom"/>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MD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Monaco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Mongolia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MN</w:t>
            </w:r>
          </w:p>
        </w:tc>
      </w:tr>
      <w:tr w:rsidR="00942CDC" w:rsidRPr="00B82CA4">
        <w:trPr>
          <w:trHeight w:val="270"/>
        </w:trPr>
        <w:tc>
          <w:tcPr>
            <w:tcW w:w="2240" w:type="dxa"/>
            <w:tcBorders>
              <w:top w:val="nil"/>
              <w:left w:val="single" w:sz="8" w:space="0" w:color="auto"/>
              <w:bottom w:val="single" w:sz="8" w:space="0" w:color="auto"/>
              <w:right w:val="single" w:sz="8" w:space="0" w:color="auto"/>
            </w:tcBorders>
            <w:shd w:val="clear" w:color="auto" w:fill="auto"/>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Montenegro</w:t>
            </w:r>
          </w:p>
        </w:tc>
        <w:tc>
          <w:tcPr>
            <w:tcW w:w="2380" w:type="dxa"/>
            <w:tcBorders>
              <w:top w:val="nil"/>
              <w:left w:val="nil"/>
              <w:bottom w:val="single" w:sz="8" w:space="0" w:color="auto"/>
              <w:right w:val="single" w:sz="8" w:space="0" w:color="auto"/>
            </w:tcBorders>
            <w:shd w:val="clear" w:color="auto" w:fill="auto"/>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Europe</w:t>
            </w:r>
            <w:r w:rsidRPr="00B82CA4" w:rsidDel="00E712A0">
              <w:rPr>
                <w:rFonts w:cs="Arial"/>
                <w:color w:val="000000"/>
                <w:sz w:val="20"/>
                <w:lang w:eastAsia="en-GB"/>
              </w:rPr>
              <w:t xml:space="preserve"> </w:t>
            </w:r>
          </w:p>
        </w:tc>
        <w:tc>
          <w:tcPr>
            <w:tcW w:w="3040" w:type="dxa"/>
            <w:tcBorders>
              <w:top w:val="nil"/>
              <w:left w:val="nil"/>
              <w:bottom w:val="single" w:sz="8" w:space="0" w:color="auto"/>
              <w:right w:val="single" w:sz="8" w:space="0" w:color="auto"/>
            </w:tcBorders>
            <w:shd w:val="clear" w:color="auto" w:fill="auto"/>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tcPr>
          <w:p w:rsidR="00942CDC" w:rsidRPr="00B82CA4" w:rsidRDefault="00942CDC" w:rsidP="008E26AA">
            <w:pPr>
              <w:tabs>
                <w:tab w:val="left" w:pos="1134"/>
              </w:tabs>
              <w:rPr>
                <w:rFonts w:cs="Arial"/>
                <w:color w:val="000000"/>
                <w:sz w:val="20"/>
                <w:lang w:eastAsia="en-GB"/>
              </w:rPr>
            </w:pPr>
            <w:r w:rsidRPr="00B82CA4">
              <w:rPr>
                <w:rFonts w:cs="Arial"/>
                <w:color w:val="000000"/>
                <w:sz w:val="20"/>
                <w:lang w:eastAsia="en-GB"/>
              </w:rPr>
              <w:t>ME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Montserrat</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Morocco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Mozambique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Myanmar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Namibia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Nauru</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Nepal</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NP</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Netherlands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Netherlands Antilles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New Caledonia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New Zealand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NZ</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Nicaragua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Niger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Nigeria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Niue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Norfolk Island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NF</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Mariana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MP</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Norway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Occupied Palestinian Territory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Oman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Pakistan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Palau</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Panama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Papua New Guinea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Paraguay</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PY</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Peru</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Philippines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Pitcairn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Poland</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Portugal</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Puerto Rico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Qatar</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QA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Republic of Korea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KR</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Republic of Moldova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MD</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Réunion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RE</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Romania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Russian Federation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RU</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Rwanda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RW</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Saint Helena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SH</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Saint Kitts and Nevis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KN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Saint Lucia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LC</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Saint Pierre and Miquelon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PM</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Saint Vincent and the Grenadines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VC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Samoa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San Marino</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SM</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Sao Tome and Principe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ST</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Saudi Arabia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SA</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Senegal</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SN</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 xml:space="preserve">Serbia </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RS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Seychelles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SC</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Sierra Leone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SL</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Singapore</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SG</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Slovakia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Slovenia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SI</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Solomon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SB</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Somalia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Africa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ZA</w:t>
            </w:r>
          </w:p>
        </w:tc>
      </w:tr>
      <w:tr w:rsidR="006269B0"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Georgia and the South Sandwich Islands</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GS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Spain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ES</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Sri Lanka</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South Asia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LK</w:t>
            </w:r>
          </w:p>
        </w:tc>
      </w:tr>
      <w:tr w:rsidR="006269B0"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Sudan</w:t>
            </w:r>
          </w:p>
        </w:tc>
        <w:tc>
          <w:tcPr>
            <w:tcW w:w="238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6269B0" w:rsidRPr="00B82CA4" w:rsidRDefault="006269B0" w:rsidP="008E26AA">
            <w:pPr>
              <w:tabs>
                <w:tab w:val="left" w:pos="1134"/>
              </w:tabs>
              <w:rPr>
                <w:rFonts w:cs="Arial"/>
                <w:color w:val="000000"/>
                <w:sz w:val="20"/>
                <w:lang w:eastAsia="en-GB"/>
              </w:rPr>
            </w:pPr>
            <w:r w:rsidRPr="00B82CA4">
              <w:rPr>
                <w:rFonts w:cs="Arial"/>
                <w:color w:val="000000"/>
                <w:sz w:val="20"/>
                <w:lang w:eastAsia="en-GB"/>
              </w:rPr>
              <w:t>SD</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South Sudan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SS</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Suriname</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SR</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Svalbard and Jan Mayen Islands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SJ</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Swaziland</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SZ</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Sweden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SE</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Switzerland</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Western Europe (excl. UK)</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CH</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Syrian Arab Republic</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SY</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Taiwan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TW</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Tajikistan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TJ</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Thailand</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TH</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Timor-Leste</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TL</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Togo</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TG</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Tokelau</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TK</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Tonga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TO</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Trinidad and Tobago</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TT</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Tunisia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TN</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Turkey</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TR</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Turkmenistan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TM</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Turks and Caicos Islands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TC</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Tuvalu</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TV</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Uganda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UG</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UK</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UK</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GB</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Ukraine</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Europe</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Eastern Europe</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UA</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United Arab Emirates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AE</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United Republic of Tanzania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TZ</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United States of America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North America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US</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United States Minor Outlying Islands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UM</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United States Virgin Islands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Caribbean</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VI</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Uruguay</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UY</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Uzbekistan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UZ</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Vanuatu</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VU</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Venezuela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Americas</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South America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VE</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Viet Nam</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East Asia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VN</w:t>
            </w:r>
          </w:p>
        </w:tc>
      </w:tr>
      <w:tr w:rsidR="009D5469" w:rsidRPr="00B82CA4">
        <w:trPr>
          <w:trHeight w:val="525"/>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Wallis and Futuna Islands</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Asia Pacific</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Oceania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WF</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Western Sahara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Northern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EH</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Yemen</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YE</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Zambia</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ZM</w:t>
            </w:r>
          </w:p>
        </w:tc>
      </w:tr>
      <w:tr w:rsidR="009D5469" w:rsidRPr="00B82CA4">
        <w:trPr>
          <w:trHeight w:val="270"/>
        </w:trPr>
        <w:tc>
          <w:tcPr>
            <w:tcW w:w="2240" w:type="dxa"/>
            <w:tcBorders>
              <w:top w:val="nil"/>
              <w:left w:val="single" w:sz="8" w:space="0" w:color="auto"/>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Zimbabwe</w:t>
            </w:r>
          </w:p>
        </w:tc>
        <w:tc>
          <w:tcPr>
            <w:tcW w:w="238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Middle East &amp; Africa</w:t>
            </w:r>
          </w:p>
        </w:tc>
        <w:tc>
          <w:tcPr>
            <w:tcW w:w="304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Central &amp; Southern Africa</w:t>
            </w:r>
          </w:p>
        </w:tc>
        <w:tc>
          <w:tcPr>
            <w:tcW w:w="1560" w:type="dxa"/>
            <w:tcBorders>
              <w:top w:val="nil"/>
              <w:left w:val="nil"/>
              <w:bottom w:val="single" w:sz="8" w:space="0" w:color="auto"/>
              <w:right w:val="single" w:sz="8" w:space="0" w:color="auto"/>
            </w:tcBorders>
            <w:shd w:val="clear" w:color="auto" w:fill="auto"/>
            <w:vAlign w:val="bottom"/>
          </w:tcPr>
          <w:p w:rsidR="009D5469" w:rsidRPr="00B82CA4" w:rsidRDefault="009D5469" w:rsidP="008E26AA">
            <w:pPr>
              <w:tabs>
                <w:tab w:val="left" w:pos="1134"/>
              </w:tabs>
              <w:rPr>
                <w:rFonts w:cs="Arial"/>
                <w:color w:val="000000"/>
                <w:sz w:val="20"/>
                <w:lang w:eastAsia="en-GB"/>
              </w:rPr>
            </w:pPr>
            <w:r w:rsidRPr="00B82CA4">
              <w:rPr>
                <w:rFonts w:cs="Arial"/>
                <w:color w:val="000000"/>
                <w:sz w:val="20"/>
                <w:lang w:eastAsia="en-GB"/>
              </w:rPr>
              <w:t>ZW</w:t>
            </w:r>
          </w:p>
        </w:tc>
      </w:tr>
    </w:tbl>
    <w:p w:rsidR="00E42E5A" w:rsidRPr="00B82CA4" w:rsidRDefault="00E42E5A" w:rsidP="00E62E9C">
      <w:pPr>
        <w:pStyle w:val="Heading1"/>
        <w:numPr>
          <w:ilvl w:val="0"/>
          <w:numId w:val="0"/>
        </w:numPr>
      </w:pPr>
      <w:bookmarkStart w:id="158" w:name="_Toc95271088"/>
      <w:bookmarkStart w:id="159" w:name="_Toc264275419"/>
      <w:bookmarkStart w:id="160" w:name="_Toc89826889"/>
    </w:p>
    <w:p w:rsidR="00BF3760" w:rsidRPr="00B82CA4" w:rsidRDefault="00CC42C9" w:rsidP="00235165">
      <w:pPr>
        <w:pStyle w:val="Heading1"/>
        <w:tabs>
          <w:tab w:val="clear" w:pos="783"/>
          <w:tab w:val="num" w:pos="1134"/>
        </w:tabs>
        <w:ind w:left="1134" w:hanging="1134"/>
      </w:pPr>
      <w:bookmarkStart w:id="161" w:name="_Toc452126188"/>
      <w:r w:rsidRPr="00B82CA4">
        <w:t xml:space="preserve">RDS </w:t>
      </w:r>
      <w:bookmarkEnd w:id="158"/>
      <w:r w:rsidR="00334B52" w:rsidRPr="00B82CA4">
        <w:t xml:space="preserve">/ AEP </w:t>
      </w:r>
      <w:r w:rsidR="00F525E3" w:rsidRPr="00B82CA4">
        <w:t>LIST</w:t>
      </w:r>
      <w:bookmarkEnd w:id="159"/>
      <w:bookmarkEnd w:id="161"/>
      <w:r w:rsidRPr="00B82CA4">
        <w:t xml:space="preserve"> </w:t>
      </w:r>
    </w:p>
    <w:bookmarkEnd w:id="160"/>
    <w:p w:rsidR="00AF0A95" w:rsidRPr="00EA4E25" w:rsidRDefault="003D320E" w:rsidP="006A2524">
      <w:pPr>
        <w:tabs>
          <w:tab w:val="left" w:pos="1134"/>
        </w:tabs>
        <w:ind w:left="1134"/>
        <w:rPr>
          <w:rFonts w:cs="Arial"/>
        </w:rPr>
      </w:pPr>
      <w:r w:rsidRPr="00B82CA4">
        <w:rPr>
          <w:rFonts w:cs="Arial"/>
        </w:rPr>
        <w:t xml:space="preserve">Please refer to the RDS </w:t>
      </w:r>
      <w:r w:rsidR="00334B52" w:rsidRPr="00B82CA4">
        <w:rPr>
          <w:rFonts w:cs="Arial"/>
        </w:rPr>
        <w:t xml:space="preserve">/ AEP </w:t>
      </w:r>
      <w:r w:rsidRPr="00B82CA4">
        <w:rPr>
          <w:rFonts w:cs="Arial"/>
        </w:rPr>
        <w:t xml:space="preserve">list in </w:t>
      </w:r>
      <w:r w:rsidR="002711B0" w:rsidRPr="00B82CA4">
        <w:t>MDC</w:t>
      </w:r>
      <w:r w:rsidR="00D06488" w:rsidRPr="00B82CA4">
        <w:rPr>
          <w:rFonts w:cs="Arial"/>
        </w:rPr>
        <w:t>.</w:t>
      </w:r>
      <w:r w:rsidRPr="00EA4E25">
        <w:rPr>
          <w:rFonts w:cs="Arial"/>
        </w:rPr>
        <w:t xml:space="preserve"> </w:t>
      </w:r>
    </w:p>
    <w:p w:rsidR="00F52A42" w:rsidRPr="00EA4E25" w:rsidRDefault="00F52A42" w:rsidP="008E26AA">
      <w:pPr>
        <w:tabs>
          <w:tab w:val="left" w:pos="1134"/>
        </w:tabs>
        <w:rPr>
          <w:rFonts w:cs="Arial"/>
        </w:rPr>
      </w:pPr>
    </w:p>
    <w:p w:rsidR="00F52A42" w:rsidRPr="00EA4E25" w:rsidRDefault="00F52A42" w:rsidP="008E26AA">
      <w:pPr>
        <w:tabs>
          <w:tab w:val="left" w:pos="1134"/>
        </w:tabs>
        <w:rPr>
          <w:rFonts w:cs="Arial"/>
        </w:rPr>
      </w:pPr>
    </w:p>
    <w:p w:rsidR="00B57AE4" w:rsidRPr="00B82CA4" w:rsidRDefault="00C06152" w:rsidP="00B57AE4">
      <w:pPr>
        <w:pStyle w:val="Heading1"/>
        <w:tabs>
          <w:tab w:val="clear" w:pos="783"/>
          <w:tab w:val="num" w:pos="1134"/>
        </w:tabs>
        <w:ind w:left="1134" w:hanging="1134"/>
      </w:pPr>
      <w:bookmarkStart w:id="162" w:name="_Toc452126189"/>
      <w:bookmarkStart w:id="163" w:name="_Toc109120113"/>
      <w:r w:rsidRPr="00B82CA4">
        <w:t xml:space="preserve">Reporting </w:t>
      </w:r>
      <w:r w:rsidR="00CA14F8">
        <w:t xml:space="preserve">for London, </w:t>
      </w:r>
      <w:r w:rsidRPr="00B82CA4">
        <w:t>Asia, Japan</w:t>
      </w:r>
      <w:r w:rsidR="00997DB2" w:rsidRPr="00B82CA4">
        <w:t>,</w:t>
      </w:r>
      <w:r w:rsidR="001515B4" w:rsidRPr="00B82CA4">
        <w:t xml:space="preserve"> </w:t>
      </w:r>
      <w:r w:rsidRPr="00B82CA4">
        <w:t>China</w:t>
      </w:r>
      <w:r w:rsidR="001B06A2" w:rsidRPr="00B82CA4">
        <w:t xml:space="preserve">, </w:t>
      </w:r>
      <w:r w:rsidR="00997DB2" w:rsidRPr="00B82CA4">
        <w:t>Dubai</w:t>
      </w:r>
      <w:r w:rsidR="001B06A2" w:rsidRPr="00B82CA4">
        <w:t xml:space="preserve"> and Europe</w:t>
      </w:r>
      <w:bookmarkEnd w:id="162"/>
    </w:p>
    <w:p w:rsidR="00C06152" w:rsidRPr="00B82CA4" w:rsidRDefault="006A2524" w:rsidP="00235165">
      <w:pPr>
        <w:numPr>
          <w:ilvl w:val="0"/>
          <w:numId w:val="12"/>
        </w:numPr>
        <w:spacing w:before="100" w:beforeAutospacing="1" w:after="220"/>
        <w:ind w:left="1418" w:hanging="283"/>
        <w:jc w:val="both"/>
        <w:rPr>
          <w:rFonts w:ascii="Calibri" w:hAnsi="Calibri" w:cs="Calibri"/>
          <w:color w:val="000000"/>
          <w:szCs w:val="22"/>
        </w:rPr>
      </w:pPr>
      <w:r w:rsidRPr="00B82CA4">
        <w:rPr>
          <w:rFonts w:cs="Arial"/>
          <w:color w:val="000000"/>
          <w:szCs w:val="22"/>
        </w:rPr>
        <w:t xml:space="preserve">The </w:t>
      </w:r>
      <w:r w:rsidR="00C06152" w:rsidRPr="00B82CA4">
        <w:rPr>
          <w:rFonts w:cs="Arial"/>
          <w:color w:val="000000"/>
          <w:szCs w:val="22"/>
        </w:rPr>
        <w:t xml:space="preserve">SBF Return collects data about the expected premium income, claims and profitability by distribution channel. The distribution channel data is recorded on </w:t>
      </w:r>
      <w:r w:rsidR="009A1ED0" w:rsidRPr="00B82CA4">
        <w:rPr>
          <w:rFonts w:cs="Arial"/>
          <w:color w:val="000000"/>
          <w:szCs w:val="22"/>
        </w:rPr>
        <w:t>four</w:t>
      </w:r>
      <w:r w:rsidR="00C06152" w:rsidRPr="00B82CA4">
        <w:rPr>
          <w:rFonts w:cs="Arial"/>
          <w:color w:val="000000"/>
          <w:szCs w:val="22"/>
        </w:rPr>
        <w:t xml:space="preserve"> of the forms in the SBF, namely:</w:t>
      </w:r>
      <w:r w:rsidR="00C06152" w:rsidRPr="00B82CA4">
        <w:rPr>
          <w:rFonts w:ascii="Calibri" w:hAnsi="Calibri" w:cs="Calibri"/>
          <w:color w:val="000000"/>
          <w:szCs w:val="22"/>
        </w:rPr>
        <w:t xml:space="preserve"> </w:t>
      </w:r>
    </w:p>
    <w:p w:rsidR="00C06152" w:rsidRPr="00B82CA4" w:rsidRDefault="00C06152" w:rsidP="00235165">
      <w:pPr>
        <w:numPr>
          <w:ilvl w:val="0"/>
          <w:numId w:val="28"/>
        </w:numPr>
        <w:tabs>
          <w:tab w:val="num" w:pos="1134"/>
        </w:tabs>
        <w:spacing w:before="100" w:beforeAutospacing="1" w:after="220"/>
        <w:ind w:left="1418" w:hanging="283"/>
        <w:jc w:val="both"/>
        <w:rPr>
          <w:rFonts w:cs="Arial"/>
          <w:color w:val="000000"/>
          <w:szCs w:val="22"/>
        </w:rPr>
      </w:pPr>
      <w:r w:rsidRPr="00B82CA4">
        <w:rPr>
          <w:rFonts w:cs="Arial"/>
          <w:color w:val="000000"/>
          <w:szCs w:val="22"/>
        </w:rPr>
        <w:t>SBF</w:t>
      </w:r>
      <w:r w:rsidR="00D14AC6">
        <w:rPr>
          <w:rFonts w:cs="Arial"/>
          <w:color w:val="000000"/>
          <w:szCs w:val="22"/>
        </w:rPr>
        <w:t>0</w:t>
      </w:r>
      <w:r w:rsidRPr="00B82CA4">
        <w:rPr>
          <w:rFonts w:cs="Arial"/>
          <w:color w:val="000000"/>
          <w:szCs w:val="22"/>
        </w:rPr>
        <w:t xml:space="preserve">51 – A mapping of the syndicate’s own lines of business to Lloyd’s risk codes and distribution channel. </w:t>
      </w:r>
    </w:p>
    <w:p w:rsidR="00C06152" w:rsidRPr="00B82CA4" w:rsidRDefault="00C06152" w:rsidP="00235165">
      <w:pPr>
        <w:numPr>
          <w:ilvl w:val="0"/>
          <w:numId w:val="28"/>
        </w:numPr>
        <w:tabs>
          <w:tab w:val="num" w:pos="1134"/>
        </w:tabs>
        <w:spacing w:before="100" w:beforeAutospacing="1" w:after="220"/>
        <w:ind w:left="1418" w:hanging="283"/>
        <w:jc w:val="both"/>
        <w:rPr>
          <w:rFonts w:cs="Arial"/>
          <w:color w:val="000000"/>
          <w:szCs w:val="22"/>
        </w:rPr>
      </w:pPr>
      <w:r w:rsidRPr="00B82CA4">
        <w:rPr>
          <w:rFonts w:cs="Arial"/>
          <w:color w:val="000000"/>
          <w:szCs w:val="22"/>
        </w:rPr>
        <w:t>SBF100 – A technical account (premiums /claims /reinsurance /acquisition costs/ management costs/ profit/ investment income/ combined ratio) per distribution channel. A return must be completed for each distribution channel identified on SBF</w:t>
      </w:r>
      <w:r w:rsidR="00D14AC6">
        <w:rPr>
          <w:rFonts w:cs="Arial"/>
          <w:color w:val="000000"/>
          <w:szCs w:val="22"/>
        </w:rPr>
        <w:t>0</w:t>
      </w:r>
      <w:r w:rsidRPr="00B82CA4">
        <w:rPr>
          <w:rFonts w:cs="Arial"/>
          <w:color w:val="000000"/>
          <w:szCs w:val="22"/>
        </w:rPr>
        <w:t xml:space="preserve">51. </w:t>
      </w:r>
    </w:p>
    <w:p w:rsidR="00C06152" w:rsidRPr="00B82CA4" w:rsidRDefault="00C06152" w:rsidP="00235165">
      <w:pPr>
        <w:numPr>
          <w:ilvl w:val="0"/>
          <w:numId w:val="28"/>
        </w:numPr>
        <w:tabs>
          <w:tab w:val="num" w:pos="1134"/>
        </w:tabs>
        <w:spacing w:before="100" w:beforeAutospacing="1" w:after="220"/>
        <w:ind w:left="1418" w:hanging="283"/>
        <w:jc w:val="both"/>
        <w:rPr>
          <w:rFonts w:ascii="Calibri" w:hAnsi="Calibri" w:cs="Calibri"/>
          <w:color w:val="000000"/>
          <w:szCs w:val="22"/>
        </w:rPr>
      </w:pPr>
      <w:r w:rsidRPr="00B82CA4">
        <w:rPr>
          <w:rFonts w:cs="Arial"/>
          <w:color w:val="000000"/>
          <w:szCs w:val="22"/>
        </w:rPr>
        <w:t>SBF105 – A split of expected premium income and claims by line of business per distribution</w:t>
      </w:r>
      <w:r w:rsidR="009A1ED0" w:rsidRPr="00B82CA4">
        <w:rPr>
          <w:rFonts w:cs="Arial"/>
          <w:color w:val="000000"/>
          <w:szCs w:val="22"/>
        </w:rPr>
        <w:t xml:space="preserve"> channel</w:t>
      </w:r>
      <w:r w:rsidRPr="00B82CA4">
        <w:rPr>
          <w:rFonts w:cs="Arial"/>
          <w:color w:val="000000"/>
          <w:szCs w:val="22"/>
        </w:rPr>
        <w:t>. A return must be completed for each distribution channel/class of business identified on SBF</w:t>
      </w:r>
      <w:r w:rsidR="00D14AC6">
        <w:rPr>
          <w:rFonts w:cs="Arial"/>
          <w:color w:val="000000"/>
          <w:szCs w:val="22"/>
        </w:rPr>
        <w:t>0</w:t>
      </w:r>
      <w:r w:rsidRPr="00B82CA4">
        <w:rPr>
          <w:rFonts w:cs="Arial"/>
          <w:color w:val="000000"/>
          <w:szCs w:val="22"/>
        </w:rPr>
        <w:t>51.</w:t>
      </w:r>
      <w:r w:rsidRPr="00B82CA4">
        <w:rPr>
          <w:rFonts w:ascii="Calibri" w:hAnsi="Calibri" w:cs="Calibri"/>
          <w:color w:val="000000"/>
          <w:szCs w:val="22"/>
        </w:rPr>
        <w:t xml:space="preserve"> </w:t>
      </w:r>
    </w:p>
    <w:p w:rsidR="00C06152" w:rsidRPr="00B82CA4" w:rsidRDefault="00C06152" w:rsidP="00235165">
      <w:pPr>
        <w:numPr>
          <w:ilvl w:val="0"/>
          <w:numId w:val="28"/>
        </w:numPr>
        <w:tabs>
          <w:tab w:val="num" w:pos="1134"/>
        </w:tabs>
        <w:spacing w:before="100" w:beforeAutospacing="1" w:after="220"/>
        <w:ind w:left="1418" w:hanging="283"/>
        <w:jc w:val="both"/>
        <w:rPr>
          <w:rFonts w:cs="Arial"/>
          <w:szCs w:val="22"/>
        </w:rPr>
      </w:pPr>
      <w:r w:rsidRPr="00B82CA4">
        <w:rPr>
          <w:rFonts w:cs="Arial"/>
          <w:szCs w:val="22"/>
        </w:rPr>
        <w:t xml:space="preserve">SBF443 - This form includes details of absolute maximum, normal maximum gross and net retained lines by class of business. A return must be completed for </w:t>
      </w:r>
      <w:r w:rsidR="009A1ED0" w:rsidRPr="00B82CA4">
        <w:rPr>
          <w:rFonts w:cs="Arial"/>
          <w:szCs w:val="22"/>
        </w:rPr>
        <w:t>all</w:t>
      </w:r>
      <w:r w:rsidRPr="00B82CA4">
        <w:rPr>
          <w:rFonts w:cs="Arial"/>
          <w:szCs w:val="22"/>
        </w:rPr>
        <w:t xml:space="preserve"> distribution channels for each class of business identified on SBF</w:t>
      </w:r>
      <w:r w:rsidR="00D14AC6">
        <w:rPr>
          <w:rFonts w:cs="Arial"/>
          <w:szCs w:val="22"/>
        </w:rPr>
        <w:t>0</w:t>
      </w:r>
      <w:r w:rsidRPr="00B82CA4">
        <w:rPr>
          <w:rFonts w:cs="Arial"/>
          <w:szCs w:val="22"/>
        </w:rPr>
        <w:t xml:space="preserve">51. </w:t>
      </w:r>
    </w:p>
    <w:p w:rsidR="00172D14" w:rsidRPr="00EA4E25" w:rsidRDefault="00172D14" w:rsidP="00235165">
      <w:pPr>
        <w:numPr>
          <w:ilvl w:val="0"/>
          <w:numId w:val="28"/>
        </w:numPr>
        <w:tabs>
          <w:tab w:val="num" w:pos="1134"/>
        </w:tabs>
        <w:spacing w:before="100" w:beforeAutospacing="1" w:after="220"/>
        <w:ind w:left="1418" w:hanging="283"/>
        <w:jc w:val="both"/>
        <w:rPr>
          <w:rFonts w:cs="Arial"/>
          <w:szCs w:val="22"/>
        </w:rPr>
      </w:pPr>
      <w:r w:rsidRPr="00EA4E25">
        <w:rPr>
          <w:rFonts w:cs="Arial"/>
          <w:szCs w:val="22"/>
        </w:rPr>
        <w:t>SBF990: see section 2</w:t>
      </w:r>
      <w:r w:rsidR="00103FE0">
        <w:rPr>
          <w:rFonts w:cs="Arial"/>
          <w:szCs w:val="22"/>
        </w:rPr>
        <w:t>0</w:t>
      </w:r>
      <w:r w:rsidRPr="00EA4E25">
        <w:rPr>
          <w:rFonts w:cs="Arial"/>
          <w:szCs w:val="22"/>
        </w:rPr>
        <w:t>.6 for detail.</w:t>
      </w:r>
    </w:p>
    <w:p w:rsidR="00DF3389" w:rsidRPr="00EA4E25" w:rsidRDefault="00516B33" w:rsidP="00235165">
      <w:pPr>
        <w:numPr>
          <w:ilvl w:val="0"/>
          <w:numId w:val="28"/>
        </w:numPr>
        <w:tabs>
          <w:tab w:val="num" w:pos="1134"/>
        </w:tabs>
        <w:spacing w:before="100" w:beforeAutospacing="1" w:after="220"/>
        <w:ind w:left="1418" w:hanging="283"/>
        <w:jc w:val="both"/>
        <w:rPr>
          <w:rFonts w:cs="Arial"/>
          <w:sz w:val="20"/>
        </w:rPr>
      </w:pPr>
      <w:r w:rsidRPr="00EA4E25">
        <w:rPr>
          <w:rFonts w:cs="Arial"/>
          <w:szCs w:val="22"/>
        </w:rPr>
        <w:t xml:space="preserve">Please note that all </w:t>
      </w:r>
      <w:r w:rsidR="00C2582E" w:rsidRPr="00EA4E25">
        <w:rPr>
          <w:rFonts w:cs="Arial"/>
          <w:szCs w:val="22"/>
        </w:rPr>
        <w:t>service companies</w:t>
      </w:r>
      <w:r w:rsidRPr="00EA4E25">
        <w:rPr>
          <w:rFonts w:cs="Arial"/>
          <w:szCs w:val="22"/>
        </w:rPr>
        <w:t xml:space="preserve"> </w:t>
      </w:r>
      <w:r w:rsidR="00C2582E" w:rsidRPr="00EA4E25">
        <w:rPr>
          <w:rFonts w:cs="Arial"/>
          <w:szCs w:val="22"/>
        </w:rPr>
        <w:t xml:space="preserve">located in the DIFC must provide a business plan completed for the </w:t>
      </w:r>
      <w:r w:rsidRPr="00EA4E25">
        <w:rPr>
          <w:rFonts w:cs="Arial"/>
          <w:szCs w:val="22"/>
        </w:rPr>
        <w:t>Dubai distribution channel</w:t>
      </w:r>
      <w:r w:rsidR="00C2582E" w:rsidRPr="00EA4E25">
        <w:rPr>
          <w:rFonts w:cs="Arial"/>
          <w:szCs w:val="22"/>
        </w:rPr>
        <w:t>.</w:t>
      </w:r>
      <w:r w:rsidR="001B06A2" w:rsidRPr="00EA4E25">
        <w:rPr>
          <w:rFonts w:cs="Arial"/>
          <w:szCs w:val="22"/>
        </w:rPr>
        <w:t xml:space="preserve"> This also applies to those syndicates that are not located in the Lloyd’s Dubai office.</w:t>
      </w:r>
    </w:p>
    <w:bookmarkEnd w:id="163"/>
    <w:p w:rsidR="00FB287E" w:rsidRDefault="00FB287E">
      <w:pPr>
        <w:rPr>
          <w:rFonts w:ascii="Times New Roman" w:hAnsi="Times New Roman"/>
          <w:b/>
          <w:sz w:val="48"/>
          <w:szCs w:val="48"/>
        </w:rPr>
      </w:pPr>
      <w:r>
        <w:rPr>
          <w:rFonts w:ascii="Times New Roman" w:hAnsi="Times New Roman"/>
          <w:b/>
          <w:sz w:val="48"/>
          <w:szCs w:val="48"/>
        </w:rPr>
        <w:br w:type="page"/>
      </w:r>
    </w:p>
    <w:p w:rsidR="001515B4" w:rsidRPr="00AB0402" w:rsidRDefault="001515B4" w:rsidP="001515B4">
      <w:pPr>
        <w:jc w:val="center"/>
        <w:rPr>
          <w:rFonts w:ascii="Times New Roman" w:hAnsi="Times New Roman"/>
          <w:b/>
          <w:sz w:val="48"/>
          <w:szCs w:val="48"/>
        </w:rPr>
      </w:pPr>
      <w:r w:rsidRPr="00EA4E25">
        <w:rPr>
          <w:rFonts w:ascii="Times New Roman" w:hAnsi="Times New Roman"/>
          <w:b/>
          <w:sz w:val="48"/>
          <w:szCs w:val="48"/>
        </w:rPr>
        <w:t>Spe</w:t>
      </w:r>
      <w:r w:rsidRPr="00AB0402">
        <w:rPr>
          <w:rFonts w:ascii="Times New Roman" w:hAnsi="Times New Roman"/>
          <w:b/>
          <w:sz w:val="48"/>
          <w:szCs w:val="48"/>
        </w:rPr>
        <w:t xml:space="preserve">cial Purpose Arrangement         </w:t>
      </w:r>
    </w:p>
    <w:p w:rsidR="001515B4" w:rsidRPr="00EA4E25" w:rsidRDefault="00E62E9C" w:rsidP="00E62E9C">
      <w:pPr>
        <w:jc w:val="center"/>
        <w:rPr>
          <w:rFonts w:ascii="Times New Roman" w:hAnsi="Times New Roman"/>
          <w:sz w:val="40"/>
          <w:szCs w:val="40"/>
        </w:rPr>
      </w:pPr>
      <w:r w:rsidRPr="00AB0402">
        <w:rPr>
          <w:rFonts w:ascii="Times New Roman" w:hAnsi="Times New Roman"/>
          <w:b/>
          <w:sz w:val="48"/>
          <w:szCs w:val="48"/>
        </w:rPr>
        <w:t xml:space="preserve">Instructions for the </w:t>
      </w:r>
      <w:r w:rsidR="002779CA" w:rsidRPr="00235165">
        <w:rPr>
          <w:rFonts w:ascii="Times New Roman" w:hAnsi="Times New Roman"/>
          <w:b/>
          <w:sz w:val="48"/>
          <w:szCs w:val="48"/>
        </w:rPr>
        <w:t>20</w:t>
      </w:r>
      <w:r w:rsidR="00AB0402" w:rsidRPr="00AB0402">
        <w:rPr>
          <w:rFonts w:ascii="Times New Roman" w:hAnsi="Times New Roman"/>
          <w:b/>
          <w:sz w:val="48"/>
          <w:szCs w:val="48"/>
        </w:rPr>
        <w:t>20</w:t>
      </w:r>
      <w:r w:rsidR="001515B4" w:rsidRPr="00AB0402">
        <w:rPr>
          <w:rFonts w:ascii="Times New Roman" w:hAnsi="Times New Roman"/>
          <w:b/>
          <w:sz w:val="48"/>
          <w:szCs w:val="48"/>
        </w:rPr>
        <w:t xml:space="preserve"> Year </w:t>
      </w:r>
      <w:r w:rsidR="001515B4" w:rsidRPr="00EA4E25">
        <w:rPr>
          <w:rFonts w:ascii="Times New Roman" w:hAnsi="Times New Roman"/>
          <w:b/>
          <w:sz w:val="48"/>
          <w:szCs w:val="48"/>
        </w:rPr>
        <w:t>of Account</w:t>
      </w:r>
    </w:p>
    <w:p w:rsidR="001515B4" w:rsidRPr="00EA4E25" w:rsidRDefault="001515B4" w:rsidP="001515B4"/>
    <w:p w:rsidR="001515B4" w:rsidRPr="00AB0402" w:rsidRDefault="001515B4" w:rsidP="001515B4"/>
    <w:p w:rsidR="001515B4" w:rsidRPr="00AB0402" w:rsidRDefault="00690EC7" w:rsidP="001515B4">
      <w:pPr>
        <w:rPr>
          <w:rFonts w:cs="Arial"/>
          <w:sz w:val="24"/>
        </w:rPr>
      </w:pPr>
      <w:r w:rsidRPr="00AB0402">
        <w:rPr>
          <w:rFonts w:cs="Arial"/>
          <w:sz w:val="24"/>
        </w:rPr>
        <w:t>Year of Issue:</w:t>
      </w:r>
      <w:r w:rsidRPr="00AB0402">
        <w:rPr>
          <w:rFonts w:cs="Arial"/>
          <w:sz w:val="24"/>
        </w:rPr>
        <w:tab/>
      </w:r>
      <w:r w:rsidR="002779CA" w:rsidRPr="00235165">
        <w:rPr>
          <w:rFonts w:cs="Arial"/>
          <w:sz w:val="24"/>
        </w:rPr>
        <w:t>201</w:t>
      </w:r>
      <w:r w:rsidR="00AB0402" w:rsidRPr="00AB0402">
        <w:rPr>
          <w:rFonts w:cs="Arial"/>
          <w:sz w:val="24"/>
        </w:rPr>
        <w:t>9</w:t>
      </w:r>
    </w:p>
    <w:p w:rsidR="001515B4" w:rsidRPr="00AB0402" w:rsidRDefault="001515B4" w:rsidP="001515B4">
      <w:pPr>
        <w:rPr>
          <w:rFonts w:cs="Arial"/>
          <w:sz w:val="24"/>
        </w:rPr>
      </w:pPr>
      <w:r w:rsidRPr="00AB0402">
        <w:rPr>
          <w:rFonts w:cs="Arial"/>
          <w:sz w:val="24"/>
        </w:rPr>
        <w:t xml:space="preserve">Version: </w:t>
      </w:r>
      <w:r w:rsidRPr="00AB0402">
        <w:rPr>
          <w:rFonts w:cs="Arial"/>
          <w:sz w:val="24"/>
        </w:rPr>
        <w:tab/>
      </w:r>
      <w:r w:rsidRPr="00AB0402">
        <w:rPr>
          <w:rFonts w:cs="Arial"/>
          <w:sz w:val="24"/>
        </w:rPr>
        <w:tab/>
      </w:r>
      <w:r w:rsidR="00AB0402">
        <w:rPr>
          <w:rFonts w:cs="Arial"/>
          <w:sz w:val="24"/>
        </w:rPr>
        <w:t>1</w:t>
      </w:r>
    </w:p>
    <w:p w:rsidR="001515B4" w:rsidRPr="00EA4E25" w:rsidRDefault="001515B4" w:rsidP="001515B4">
      <w:pPr>
        <w:rPr>
          <w:rFonts w:cs="Arial"/>
          <w:sz w:val="24"/>
        </w:rPr>
      </w:pPr>
      <w:r w:rsidRPr="00EA4E25">
        <w:rPr>
          <w:rFonts w:cs="Arial"/>
          <w:sz w:val="24"/>
        </w:rPr>
        <w:t>Contact:</w:t>
      </w:r>
      <w:r w:rsidRPr="00EA4E25">
        <w:rPr>
          <w:rFonts w:cs="Arial"/>
          <w:sz w:val="24"/>
        </w:rPr>
        <w:tab/>
      </w:r>
      <w:r w:rsidRPr="00EA4E25">
        <w:rPr>
          <w:rFonts w:cs="Arial"/>
          <w:sz w:val="24"/>
        </w:rPr>
        <w:tab/>
      </w:r>
      <w:hyperlink r:id="rId33" w:history="1">
        <w:r w:rsidRPr="00EA4E25">
          <w:rPr>
            <w:rFonts w:cs="Arial"/>
            <w:color w:val="0000FF"/>
            <w:sz w:val="24"/>
            <w:u w:val="single"/>
          </w:rPr>
          <w:t>Lloyds-businessplans@lloyds.com</w:t>
        </w:r>
      </w:hyperlink>
    </w:p>
    <w:p w:rsidR="001515B4" w:rsidRPr="00EA4E25" w:rsidRDefault="001515B4" w:rsidP="001515B4">
      <w:pPr>
        <w:widowControl w:val="0"/>
        <w:ind w:right="144"/>
        <w:rPr>
          <w:rFonts w:cs="Arial"/>
          <w:b/>
          <w:sz w:val="40"/>
          <w:szCs w:val="40"/>
        </w:rPr>
      </w:pPr>
    </w:p>
    <w:p w:rsidR="001515B4" w:rsidRPr="00B82CA4" w:rsidRDefault="001515B4" w:rsidP="00235165">
      <w:pPr>
        <w:numPr>
          <w:ilvl w:val="0"/>
          <w:numId w:val="6"/>
        </w:numPr>
        <w:tabs>
          <w:tab w:val="clear" w:pos="783"/>
          <w:tab w:val="num" w:pos="851"/>
        </w:tabs>
        <w:spacing w:before="240"/>
        <w:ind w:left="1134" w:hanging="1134"/>
        <w:outlineLvl w:val="0"/>
        <w:rPr>
          <w:rFonts w:cs="Arial"/>
          <w:b/>
          <w:kern w:val="28"/>
          <w:sz w:val="30"/>
          <w:szCs w:val="30"/>
        </w:rPr>
      </w:pPr>
      <w:bookmarkStart w:id="164" w:name="_Toc452126190"/>
      <w:r w:rsidRPr="00B82CA4">
        <w:rPr>
          <w:rFonts w:cs="Arial"/>
          <w:b/>
          <w:kern w:val="28"/>
          <w:sz w:val="30"/>
          <w:szCs w:val="30"/>
        </w:rPr>
        <w:t>Overview of return</w:t>
      </w:r>
      <w:bookmarkEnd w:id="164"/>
    </w:p>
    <w:p w:rsidR="00BF1A01" w:rsidRPr="00EA4E25" w:rsidRDefault="00BF1A01" w:rsidP="00BF1A01">
      <w:pPr>
        <w:spacing w:before="240"/>
        <w:ind w:left="1134"/>
        <w:outlineLvl w:val="0"/>
        <w:rPr>
          <w:rFonts w:cs="Arial"/>
          <w:b/>
          <w:kern w:val="28"/>
          <w:sz w:val="24"/>
        </w:rPr>
      </w:pPr>
    </w:p>
    <w:p w:rsidR="00781F19" w:rsidRPr="00EA4E25" w:rsidRDefault="00781F19" w:rsidP="00781F19">
      <w:pPr>
        <w:pStyle w:val="Heading2"/>
        <w:tabs>
          <w:tab w:val="num" w:pos="1134"/>
        </w:tabs>
        <w:ind w:left="1134" w:hanging="1134"/>
        <w:rPr>
          <w:rFonts w:cs="Arial"/>
          <w:b w:val="0"/>
          <w:color w:val="auto"/>
          <w:sz w:val="22"/>
          <w:szCs w:val="22"/>
          <w:lang w:eastAsia="en-GB"/>
        </w:rPr>
      </w:pPr>
      <w:r w:rsidRPr="00EA4E25">
        <w:rPr>
          <w:rFonts w:cs="Arial"/>
          <w:b w:val="0"/>
          <w:color w:val="auto"/>
          <w:sz w:val="22"/>
          <w:szCs w:val="22"/>
          <w:lang w:eastAsia="en-GB"/>
        </w:rPr>
        <w:t xml:space="preserve">A Special Purpose Arrangement (SPA) is a limited tenancy arrangement which is related to a host syndicate. </w:t>
      </w:r>
    </w:p>
    <w:p w:rsidR="00781F19" w:rsidRPr="00EA4E25" w:rsidRDefault="00781F19" w:rsidP="00781F19">
      <w:pPr>
        <w:pStyle w:val="Heading2"/>
        <w:tabs>
          <w:tab w:val="num" w:pos="1134"/>
        </w:tabs>
        <w:ind w:left="1134" w:hanging="1134"/>
        <w:rPr>
          <w:rFonts w:cs="Arial"/>
          <w:b w:val="0"/>
          <w:color w:val="auto"/>
          <w:sz w:val="22"/>
          <w:szCs w:val="22"/>
          <w:lang w:eastAsia="en-GB"/>
        </w:rPr>
      </w:pPr>
      <w:r w:rsidRPr="00EA4E25">
        <w:rPr>
          <w:rFonts w:cs="Arial"/>
          <w:b w:val="0"/>
          <w:color w:val="auto"/>
          <w:sz w:val="22"/>
          <w:szCs w:val="22"/>
          <w:lang w:eastAsia="en-GB"/>
        </w:rPr>
        <w:t xml:space="preserve">The SPA must complete a full SBF. It must also complete all other Lloyd’s mandatory returns (e.g. RDS, PMDR, SRS, QMA, QMB etc). </w:t>
      </w:r>
    </w:p>
    <w:p w:rsidR="001515B4" w:rsidRPr="00EA4E25" w:rsidRDefault="00781F19" w:rsidP="00781F19">
      <w:pPr>
        <w:pStyle w:val="Heading2"/>
        <w:tabs>
          <w:tab w:val="num" w:pos="1134"/>
        </w:tabs>
        <w:ind w:left="1134" w:hanging="1134"/>
        <w:rPr>
          <w:rFonts w:cs="Arial"/>
          <w:sz w:val="22"/>
          <w:szCs w:val="22"/>
        </w:rPr>
      </w:pPr>
      <w:r w:rsidRPr="00EA4E25">
        <w:rPr>
          <w:rFonts w:cs="Arial"/>
          <w:b w:val="0"/>
          <w:color w:val="auto"/>
          <w:sz w:val="22"/>
          <w:szCs w:val="22"/>
        </w:rPr>
        <w:t>As SPA</w:t>
      </w:r>
      <w:r w:rsidR="00613739" w:rsidRPr="00EA4E25">
        <w:rPr>
          <w:rFonts w:cs="Arial"/>
          <w:b w:val="0"/>
          <w:color w:val="auto"/>
          <w:sz w:val="22"/>
          <w:szCs w:val="22"/>
        </w:rPr>
        <w:t>s</w:t>
      </w:r>
      <w:r w:rsidRPr="00EA4E25">
        <w:rPr>
          <w:rFonts w:cs="Arial"/>
          <w:b w:val="0"/>
          <w:color w:val="auto"/>
          <w:sz w:val="22"/>
          <w:szCs w:val="22"/>
        </w:rPr>
        <w:t xml:space="preserve"> are for one year only, there is no capacity to be traded in the auctions. So the SPA will follow the deadlines of the host(s) – aligned or non-aligned.</w:t>
      </w:r>
      <w:r w:rsidR="001515B4" w:rsidRPr="00EA4E25">
        <w:rPr>
          <w:rFonts w:cs="Arial"/>
          <w:sz w:val="22"/>
          <w:szCs w:val="22"/>
        </w:rPr>
        <w:t xml:space="preserve"> </w:t>
      </w:r>
    </w:p>
    <w:p w:rsidR="001515B4" w:rsidRPr="00EA4E25" w:rsidRDefault="001515B4" w:rsidP="00534E03">
      <w:pPr>
        <w:numPr>
          <w:ilvl w:val="1"/>
          <w:numId w:val="6"/>
        </w:numPr>
        <w:tabs>
          <w:tab w:val="num" w:pos="1134"/>
        </w:tabs>
        <w:spacing w:before="240"/>
        <w:ind w:left="1134" w:hanging="1134"/>
        <w:outlineLvl w:val="1"/>
        <w:rPr>
          <w:rFonts w:cs="Arial"/>
          <w:szCs w:val="22"/>
          <w:lang w:eastAsia="en-GB"/>
        </w:rPr>
      </w:pPr>
      <w:r w:rsidRPr="00EA4E25">
        <w:rPr>
          <w:rFonts w:cs="Arial"/>
          <w:szCs w:val="22"/>
          <w:lang w:eastAsia="en-GB"/>
        </w:rPr>
        <w:t xml:space="preserve">The host syndicate should include the income, claims, acquisition costs lines sizes and losses for the SPA within the gross figures of the host. </w:t>
      </w:r>
    </w:p>
    <w:p w:rsidR="001515B4" w:rsidRPr="00B82CA4" w:rsidRDefault="001515B4" w:rsidP="00534E03">
      <w:pPr>
        <w:numPr>
          <w:ilvl w:val="1"/>
          <w:numId w:val="6"/>
        </w:numPr>
        <w:tabs>
          <w:tab w:val="num" w:pos="1134"/>
        </w:tabs>
        <w:spacing w:before="240"/>
        <w:ind w:left="1134" w:hanging="1134"/>
        <w:outlineLvl w:val="1"/>
        <w:rPr>
          <w:rFonts w:cs="Arial"/>
          <w:szCs w:val="22"/>
          <w:lang w:eastAsia="en-GB"/>
        </w:rPr>
      </w:pPr>
      <w:r w:rsidRPr="00B82CA4">
        <w:rPr>
          <w:rFonts w:cs="Arial"/>
          <w:szCs w:val="22"/>
          <w:lang w:eastAsia="en-GB"/>
        </w:rPr>
        <w:t xml:space="preserve">The general SBF instructions can be followed for completion of the SPA and the host with the addition of the following specific instructions. </w:t>
      </w:r>
      <w:r w:rsidRPr="00B82CA4">
        <w:rPr>
          <w:rFonts w:cs="Arial"/>
          <w:szCs w:val="22"/>
        </w:rPr>
        <w:t xml:space="preserve">If you require any guidance on completion of the SBF please refer to Syndicate </w:t>
      </w:r>
      <w:r w:rsidR="00B82CA4" w:rsidRPr="00235165">
        <w:rPr>
          <w:rFonts w:cs="Arial"/>
          <w:szCs w:val="22"/>
        </w:rPr>
        <w:t>Business</w:t>
      </w:r>
      <w:r w:rsidR="00B82CA4" w:rsidRPr="00B82CA4">
        <w:rPr>
          <w:rFonts w:cs="Arial"/>
          <w:szCs w:val="22"/>
        </w:rPr>
        <w:t xml:space="preserve"> </w:t>
      </w:r>
      <w:r w:rsidRPr="00B82CA4">
        <w:rPr>
          <w:rFonts w:cs="Arial"/>
          <w:szCs w:val="22"/>
        </w:rPr>
        <w:t xml:space="preserve">Performance in the first instance.  </w:t>
      </w:r>
      <w:r w:rsidRPr="00B82CA4">
        <w:rPr>
          <w:rFonts w:cs="Arial"/>
          <w:szCs w:val="22"/>
          <w:lang w:eastAsia="en-GB"/>
        </w:rPr>
        <w:t xml:space="preserve">      </w:t>
      </w:r>
    </w:p>
    <w:p w:rsidR="001515B4" w:rsidRPr="00EA4E25" w:rsidRDefault="001515B4" w:rsidP="001515B4">
      <w:pPr>
        <w:widowControl w:val="0"/>
        <w:tabs>
          <w:tab w:val="left" w:pos="851"/>
        </w:tabs>
        <w:spacing w:after="220"/>
        <w:jc w:val="both"/>
        <w:outlineLvl w:val="2"/>
        <w:rPr>
          <w:rFonts w:cs="Arial"/>
          <w:color w:val="000000"/>
          <w:szCs w:val="22"/>
        </w:rPr>
      </w:pPr>
    </w:p>
    <w:p w:rsidR="001F6761" w:rsidRPr="00B82CA4" w:rsidRDefault="001515B4" w:rsidP="00235165">
      <w:pPr>
        <w:numPr>
          <w:ilvl w:val="0"/>
          <w:numId w:val="6"/>
        </w:numPr>
        <w:tabs>
          <w:tab w:val="clear" w:pos="783"/>
        </w:tabs>
        <w:spacing w:before="240"/>
        <w:ind w:left="851" w:hanging="851"/>
        <w:outlineLvl w:val="0"/>
        <w:rPr>
          <w:rFonts w:cs="Arial"/>
          <w:b/>
          <w:kern w:val="28"/>
          <w:sz w:val="30"/>
          <w:szCs w:val="30"/>
        </w:rPr>
      </w:pPr>
      <w:bookmarkStart w:id="165" w:name="_Toc452126191"/>
      <w:r w:rsidRPr="00B82CA4">
        <w:rPr>
          <w:rFonts w:cs="Arial"/>
          <w:b/>
          <w:kern w:val="28"/>
          <w:sz w:val="30"/>
          <w:szCs w:val="30"/>
        </w:rPr>
        <w:t>SPA specific instructions</w:t>
      </w:r>
      <w:bookmarkEnd w:id="165"/>
    </w:p>
    <w:p w:rsidR="001F6761" w:rsidRPr="00B82CA4" w:rsidRDefault="001F6761" w:rsidP="001F6761">
      <w:pPr>
        <w:outlineLvl w:val="0"/>
        <w:rPr>
          <w:rFonts w:cs="Arial"/>
          <w:b/>
          <w:kern w:val="28"/>
          <w:sz w:val="30"/>
          <w:szCs w:val="30"/>
        </w:rPr>
      </w:pP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SPA reinsurance contracts can transfer risk on a variety different structures as such the reporting instructions for each arrangement will vary by SPA and host. It is therefore important that the SBF reflects, and is consistent with, the specific risk cession, premium calculations and loss recovery terms of the reinsurance contract in place. </w:t>
      </w:r>
    </w:p>
    <w:p w:rsidR="001515B4" w:rsidRPr="00B82CA4" w:rsidRDefault="001515B4" w:rsidP="00534E03">
      <w:pPr>
        <w:numPr>
          <w:ilvl w:val="1"/>
          <w:numId w:val="6"/>
        </w:numPr>
        <w:tabs>
          <w:tab w:val="num" w:pos="1134"/>
        </w:tabs>
        <w:spacing w:before="240"/>
        <w:ind w:left="1134" w:hanging="1134"/>
        <w:outlineLvl w:val="1"/>
        <w:rPr>
          <w:rFonts w:cs="Arial"/>
          <w:szCs w:val="22"/>
          <w:lang w:eastAsia="en-GB"/>
        </w:rPr>
      </w:pPr>
      <w:r w:rsidRPr="00B82CA4">
        <w:rPr>
          <w:rFonts w:cs="Arial"/>
          <w:szCs w:val="22"/>
          <w:lang w:eastAsia="en-GB"/>
        </w:rPr>
        <w:t xml:space="preserve">The SPA should be treated as any other reinsurance arrangement and the reporting within the SBF should be consistent with the terms of the reinsurance contract. The only differences for host’s completion of the SBF forms are </w:t>
      </w:r>
    </w:p>
    <w:p w:rsidR="001515B4" w:rsidRPr="00B82CA4" w:rsidRDefault="001515B4" w:rsidP="00235165">
      <w:pPr>
        <w:numPr>
          <w:ilvl w:val="0"/>
          <w:numId w:val="30"/>
        </w:numPr>
        <w:spacing w:before="240"/>
        <w:ind w:left="1701" w:hanging="567"/>
        <w:outlineLvl w:val="1"/>
        <w:rPr>
          <w:rFonts w:cs="Arial"/>
          <w:szCs w:val="22"/>
          <w:lang w:eastAsia="en-GB"/>
        </w:rPr>
      </w:pPr>
      <w:r w:rsidRPr="00B82CA4">
        <w:rPr>
          <w:rFonts w:cs="Arial"/>
          <w:szCs w:val="22"/>
          <w:lang w:eastAsia="en-GB"/>
        </w:rPr>
        <w:t xml:space="preserve">Form 105 – column D </w:t>
      </w:r>
      <w:r w:rsidR="004B4B77" w:rsidRPr="00B82CA4">
        <w:rPr>
          <w:rFonts w:cs="Arial"/>
          <w:szCs w:val="22"/>
          <w:lang w:eastAsia="en-GB"/>
        </w:rPr>
        <w:t xml:space="preserve">must be used to report the </w:t>
      </w:r>
      <w:r w:rsidRPr="00B82CA4">
        <w:rPr>
          <w:rFonts w:cs="Arial"/>
          <w:szCs w:val="22"/>
          <w:lang w:eastAsia="en-GB"/>
        </w:rPr>
        <w:t>Outwards Reinsurance Ceded to SPA</w:t>
      </w:r>
      <w:r w:rsidR="004B4B77" w:rsidRPr="00B82CA4">
        <w:rPr>
          <w:rFonts w:cs="Arial"/>
          <w:szCs w:val="22"/>
          <w:lang w:eastAsia="en-GB"/>
        </w:rPr>
        <w:t xml:space="preserve"> from the host</w:t>
      </w:r>
      <w:r w:rsidRPr="00B82CA4">
        <w:rPr>
          <w:rFonts w:cs="Arial"/>
          <w:szCs w:val="22"/>
          <w:lang w:eastAsia="en-GB"/>
        </w:rPr>
        <w:t>.</w:t>
      </w:r>
      <w:r w:rsidR="004B4B77" w:rsidRPr="00B82CA4">
        <w:rPr>
          <w:rFonts w:cs="Arial"/>
          <w:szCs w:val="22"/>
          <w:lang w:eastAsia="en-GB"/>
        </w:rPr>
        <w:t xml:space="preserve"> This should correspond with the Gross Written Premium reported for the SPA.</w:t>
      </w:r>
      <w:r w:rsidRPr="00B82CA4">
        <w:rPr>
          <w:rFonts w:cs="Arial"/>
          <w:szCs w:val="22"/>
          <w:lang w:eastAsia="en-GB"/>
        </w:rPr>
        <w:t xml:space="preserve"> </w:t>
      </w:r>
    </w:p>
    <w:p w:rsidR="001515B4" w:rsidRPr="00B82CA4" w:rsidRDefault="001F6761" w:rsidP="00235165">
      <w:pPr>
        <w:numPr>
          <w:ilvl w:val="0"/>
          <w:numId w:val="30"/>
        </w:numPr>
        <w:spacing w:before="240"/>
        <w:ind w:left="1701" w:hanging="567"/>
        <w:outlineLvl w:val="1"/>
        <w:rPr>
          <w:rFonts w:cs="Arial"/>
          <w:szCs w:val="22"/>
          <w:lang w:eastAsia="en-GB"/>
        </w:rPr>
      </w:pPr>
      <w:r w:rsidRPr="00B82CA4">
        <w:rPr>
          <w:rFonts w:cs="Arial"/>
          <w:szCs w:val="22"/>
          <w:lang w:eastAsia="en-GB"/>
        </w:rPr>
        <w:t xml:space="preserve">Form 420 – row 5 </w:t>
      </w:r>
      <w:r w:rsidR="001515B4" w:rsidRPr="00B82CA4">
        <w:rPr>
          <w:rFonts w:cs="Arial"/>
          <w:szCs w:val="22"/>
          <w:lang w:eastAsia="en-GB"/>
        </w:rPr>
        <w:t>SPA Capacity – this should reflect the</w:t>
      </w:r>
      <w:r w:rsidR="00781F19" w:rsidRPr="00B82CA4">
        <w:rPr>
          <w:rFonts w:cs="Arial"/>
          <w:szCs w:val="22"/>
          <w:lang w:eastAsia="en-GB"/>
        </w:rPr>
        <w:t xml:space="preserve"> capacity for the SPA </w:t>
      </w:r>
      <w:r w:rsidR="001515B4" w:rsidRPr="00B82CA4">
        <w:rPr>
          <w:rFonts w:cs="Arial"/>
          <w:szCs w:val="22"/>
          <w:lang w:eastAsia="en-GB"/>
        </w:rPr>
        <w:t>and should match the Capacity figure in the SPA’s form 420</w:t>
      </w:r>
      <w:r w:rsidR="003930D9" w:rsidRPr="00B82CA4">
        <w:rPr>
          <w:rFonts w:cs="Arial"/>
          <w:szCs w:val="22"/>
          <w:lang w:eastAsia="en-GB"/>
        </w:rPr>
        <w:t xml:space="preserve"> (row 6)</w:t>
      </w:r>
      <w:r w:rsidR="001515B4" w:rsidRPr="00B82CA4">
        <w:rPr>
          <w:rFonts w:cs="Arial"/>
          <w:szCs w:val="22"/>
          <w:lang w:eastAsia="en-GB"/>
        </w:rPr>
        <w:t xml:space="preserve">.  </w:t>
      </w:r>
    </w:p>
    <w:p w:rsidR="00BF1A01" w:rsidRPr="00B82CA4" w:rsidRDefault="00BF1A01" w:rsidP="00BF1A01">
      <w:pPr>
        <w:spacing w:before="240"/>
        <w:outlineLvl w:val="1"/>
        <w:rPr>
          <w:rFonts w:cs="Arial"/>
          <w:sz w:val="24"/>
          <w:lang w:eastAsia="en-GB"/>
        </w:rPr>
      </w:pPr>
    </w:p>
    <w:p w:rsidR="001515B4" w:rsidRPr="00B82CA4" w:rsidRDefault="001515B4" w:rsidP="00534E03">
      <w:pPr>
        <w:numPr>
          <w:ilvl w:val="1"/>
          <w:numId w:val="6"/>
        </w:numPr>
        <w:tabs>
          <w:tab w:val="num" w:pos="1134"/>
        </w:tabs>
        <w:spacing w:before="240"/>
        <w:ind w:left="720" w:hanging="720"/>
        <w:outlineLvl w:val="1"/>
        <w:rPr>
          <w:rFonts w:cs="Arial"/>
          <w:b/>
          <w:sz w:val="24"/>
          <w:szCs w:val="24"/>
          <w:lang w:eastAsia="en-GB"/>
        </w:rPr>
      </w:pPr>
      <w:r w:rsidRPr="00B82CA4">
        <w:rPr>
          <w:rFonts w:cs="Arial"/>
          <w:b/>
          <w:sz w:val="24"/>
          <w:szCs w:val="24"/>
          <w:lang w:eastAsia="en-GB"/>
        </w:rPr>
        <w:t xml:space="preserve">SBF100 and </w:t>
      </w:r>
      <w:r w:rsidR="00185DD9" w:rsidRPr="00B82CA4">
        <w:rPr>
          <w:rFonts w:cs="Arial"/>
          <w:b/>
          <w:sz w:val="24"/>
          <w:szCs w:val="24"/>
          <w:lang w:eastAsia="en-GB"/>
        </w:rPr>
        <w:t>SBF</w:t>
      </w:r>
      <w:r w:rsidRPr="00B82CA4">
        <w:rPr>
          <w:rFonts w:cs="Arial"/>
          <w:b/>
          <w:sz w:val="24"/>
          <w:szCs w:val="24"/>
          <w:lang w:eastAsia="en-GB"/>
        </w:rPr>
        <w:t xml:space="preserve">105 </w:t>
      </w:r>
    </w:p>
    <w:p w:rsidR="001F6761" w:rsidRPr="00B82CA4" w:rsidRDefault="001F6761" w:rsidP="001F6761">
      <w:pPr>
        <w:spacing w:before="240"/>
        <w:ind w:left="720"/>
        <w:outlineLvl w:val="1"/>
        <w:rPr>
          <w:rFonts w:cs="Arial"/>
          <w:b/>
          <w:sz w:val="24"/>
          <w:szCs w:val="24"/>
          <w:lang w:eastAsia="en-GB"/>
        </w:rPr>
      </w:pPr>
    </w:p>
    <w:p w:rsidR="001515B4" w:rsidRPr="00B82CA4" w:rsidRDefault="001515B4" w:rsidP="00690EC7">
      <w:pPr>
        <w:pStyle w:val="Heading3"/>
        <w:tabs>
          <w:tab w:val="clear" w:pos="851"/>
          <w:tab w:val="num" w:pos="1134"/>
        </w:tabs>
        <w:ind w:left="1134" w:hanging="1134"/>
        <w:rPr>
          <w:lang w:eastAsia="en-GB"/>
        </w:rPr>
      </w:pPr>
      <w:r w:rsidRPr="00B82CA4">
        <w:rPr>
          <w:lang w:eastAsia="en-GB"/>
        </w:rPr>
        <w:t>The Gross Written Premium for the SPA should reflect the reinsurance premium ceded (before deduction of reinsurance commissions payable to the host) calculated in a manner consistent with the terms of</w:t>
      </w:r>
      <w:r w:rsidR="00781F19" w:rsidRPr="00B82CA4">
        <w:rPr>
          <w:lang w:eastAsia="en-GB"/>
        </w:rPr>
        <w:t xml:space="preserve"> the SPA reinsurance contract, </w:t>
      </w:r>
      <w:r w:rsidRPr="00B82CA4">
        <w:rPr>
          <w:lang w:eastAsia="en-GB"/>
        </w:rPr>
        <w:t xml:space="preserve">e.g. % of host syndicates (i) Gross Written Premium, (ii) Gross Net Premium, (iii) Net </w:t>
      </w:r>
      <w:r w:rsidR="001F6761" w:rsidRPr="00B82CA4">
        <w:rPr>
          <w:lang w:eastAsia="en-GB"/>
        </w:rPr>
        <w:t xml:space="preserve">Net Premium; and should not be </w:t>
      </w:r>
      <w:r w:rsidRPr="00B82CA4">
        <w:rPr>
          <w:lang w:eastAsia="en-GB"/>
        </w:rPr>
        <w:t xml:space="preserve">artificially grossed up or netted down.   </w:t>
      </w:r>
    </w:p>
    <w:p w:rsidR="001515B4" w:rsidRPr="00B82CA4" w:rsidRDefault="001515B4" w:rsidP="00690EC7">
      <w:pPr>
        <w:pStyle w:val="Heading3"/>
        <w:tabs>
          <w:tab w:val="clear" w:pos="851"/>
          <w:tab w:val="num" w:pos="1134"/>
        </w:tabs>
        <w:ind w:left="1134" w:hanging="1134"/>
        <w:rPr>
          <w:lang w:eastAsia="en-GB"/>
        </w:rPr>
      </w:pPr>
      <w:r w:rsidRPr="00B82CA4">
        <w:rPr>
          <w:lang w:eastAsia="en-GB"/>
        </w:rPr>
        <w:t xml:space="preserve">Any reinsurance commissions (ceding, overriding) payable from the SPA to the host syndicate should be treated as Acquisition costs (brokerage and commissions) in the SPA forms 100 and 105, and shown in the host syndicate’s SBF as “Outwards reinsurance commissions received” </w:t>
      </w:r>
    </w:p>
    <w:p w:rsidR="001515B4" w:rsidRPr="00B82CA4" w:rsidRDefault="001515B4" w:rsidP="00690EC7">
      <w:pPr>
        <w:pStyle w:val="Heading3"/>
        <w:tabs>
          <w:tab w:val="clear" w:pos="851"/>
          <w:tab w:val="num" w:pos="1134"/>
        </w:tabs>
        <w:ind w:left="1134" w:hanging="1134"/>
        <w:rPr>
          <w:lang w:eastAsia="en-GB"/>
        </w:rPr>
      </w:pPr>
      <w:r w:rsidRPr="00B82CA4">
        <w:rPr>
          <w:lang w:eastAsia="en-GB"/>
        </w:rPr>
        <w:t xml:space="preserve">Any reinsurance profit participations or profit commissions payable from the SPA to the host syndicate should be treated as Acquisition costs (brokerage and commissions) in the SPA forms 100 and 105, and shown in the hosts syndicate’s SBF as “Outwards reinsurance profit participations received” </w:t>
      </w:r>
    </w:p>
    <w:p w:rsidR="001515B4" w:rsidRPr="00B82CA4" w:rsidRDefault="001515B4" w:rsidP="00690EC7">
      <w:pPr>
        <w:pStyle w:val="Heading3"/>
        <w:tabs>
          <w:tab w:val="clear" w:pos="851"/>
          <w:tab w:val="num" w:pos="1134"/>
        </w:tabs>
        <w:ind w:left="1134" w:hanging="1134"/>
      </w:pPr>
      <w:r w:rsidRPr="00B82CA4">
        <w:t xml:space="preserve">Any brokerage, commission or fees payable by the SPA to an intermediary for the placement of the reinsurance contract between the host syndicate and the SPA should be treated as </w:t>
      </w:r>
      <w:r w:rsidRPr="00B82CA4">
        <w:rPr>
          <w:lang w:eastAsia="en-GB"/>
        </w:rPr>
        <w:t>Acquisition costs (brokerage and commissions) in the SPA forms 100 and 105</w:t>
      </w:r>
      <w:r w:rsidRPr="00B82CA4">
        <w:t xml:space="preserve"> </w:t>
      </w:r>
    </w:p>
    <w:p w:rsidR="001515B4" w:rsidRPr="00B82CA4" w:rsidRDefault="001515B4" w:rsidP="00690EC7">
      <w:pPr>
        <w:pStyle w:val="Heading3"/>
        <w:tabs>
          <w:tab w:val="clear" w:pos="851"/>
          <w:tab w:val="num" w:pos="1134"/>
        </w:tabs>
        <w:ind w:left="1134" w:hanging="1134"/>
        <w:rPr>
          <w:sz w:val="24"/>
          <w:szCs w:val="20"/>
        </w:rPr>
      </w:pPr>
      <w:r w:rsidRPr="00B82CA4">
        <w:t>Syn</w:t>
      </w:r>
      <w:r w:rsidR="003D6784" w:rsidRPr="00B82CA4">
        <w:t xml:space="preserve">dicate classes of business; The </w:t>
      </w:r>
      <w:r w:rsidRPr="00B82CA4">
        <w:t xml:space="preserve">class of business split as provided in the SBF should be the same class of </w:t>
      </w:r>
      <w:r w:rsidR="003D6784" w:rsidRPr="00B82CA4">
        <w:t>business split that the host syndicate uses to manage its own book. These classes of business are carried forward to the QMB (Quarterly Monitoring Return B). For SPAs, the Class of Business split should reflect the hosts(s) classes that are subject to the quota-share to the SPA.</w:t>
      </w:r>
    </w:p>
    <w:p w:rsidR="001515B4" w:rsidRPr="00B82CA4" w:rsidRDefault="001515B4" w:rsidP="00690EC7">
      <w:pPr>
        <w:pStyle w:val="Heading3"/>
        <w:tabs>
          <w:tab w:val="clear" w:pos="851"/>
          <w:tab w:val="num" w:pos="1134"/>
        </w:tabs>
        <w:ind w:left="1134" w:hanging="1134"/>
        <w:rPr>
          <w:sz w:val="24"/>
        </w:rPr>
      </w:pPr>
      <w:r w:rsidRPr="00B82CA4">
        <w:t>Shared / Common Account Reins</w:t>
      </w:r>
      <w:r w:rsidR="006A2524" w:rsidRPr="00B82CA4">
        <w:t xml:space="preserve">urance between host and SPA; If </w:t>
      </w:r>
      <w:r w:rsidRPr="00B82CA4">
        <w:t xml:space="preserve">the SPA QS is on a gross loss cession basis </w:t>
      </w:r>
      <w:r w:rsidR="006A2524" w:rsidRPr="00B82CA4">
        <w:t>from the host syndicate</w:t>
      </w:r>
      <w:r w:rsidR="009C1EA5" w:rsidRPr="00235165">
        <w:t xml:space="preserve"> </w:t>
      </w:r>
      <w:r w:rsidR="009C1EA5" w:rsidRPr="00B82CA4">
        <w:rPr>
          <w:u w:val="single"/>
        </w:rPr>
        <w:t>the SPA</w:t>
      </w:r>
      <w:r w:rsidRPr="00B82CA4">
        <w:t xml:space="preserve"> share</w:t>
      </w:r>
      <w:r w:rsidR="009C1EA5" w:rsidRPr="00B82CA4">
        <w:t>s</w:t>
      </w:r>
      <w:r w:rsidRPr="00B82CA4">
        <w:t xml:space="preserve"> common account reinsurance with the host</w:t>
      </w:r>
      <w:r w:rsidR="006A2524" w:rsidRPr="00B82CA4">
        <w:t>,</w:t>
      </w:r>
      <w:r w:rsidRPr="00B82CA4">
        <w:t xml:space="preserve"> the SPA and the host syndicate should only report their respective shares of the allocated outwards reinsurance premiums, reinsurance commissions receivable and reinsurance recoveries from these arrangements in their respective SBFs. </w:t>
      </w:r>
    </w:p>
    <w:p w:rsidR="00BC468A" w:rsidRPr="00B82CA4" w:rsidRDefault="001515B4" w:rsidP="006A2524">
      <w:pPr>
        <w:widowControl w:val="0"/>
        <w:ind w:left="1134" w:right="144"/>
      </w:pPr>
      <w:r w:rsidRPr="00B82CA4">
        <w:t>Gross QS cessions with shared / common account reinsurance protections can create accounting complications so it is recommended that such arrangements are discussed with Lloyd’s Exposure Management &amp; Reinsurance team in advance</w:t>
      </w:r>
      <w:r w:rsidR="001F6761" w:rsidRPr="00B82CA4">
        <w:t>.</w:t>
      </w:r>
    </w:p>
    <w:p w:rsidR="001F6761" w:rsidRPr="00B82CA4" w:rsidRDefault="001F6761" w:rsidP="006A2524">
      <w:pPr>
        <w:widowControl w:val="0"/>
        <w:ind w:left="1134" w:right="144"/>
        <w:rPr>
          <w:rFonts w:cs="Arial"/>
          <w:sz w:val="24"/>
        </w:rPr>
      </w:pPr>
    </w:p>
    <w:p w:rsidR="001515B4" w:rsidRPr="00B82CA4" w:rsidRDefault="001515B4" w:rsidP="00235165">
      <w:pPr>
        <w:numPr>
          <w:ilvl w:val="0"/>
          <w:numId w:val="6"/>
        </w:numPr>
        <w:tabs>
          <w:tab w:val="clear" w:pos="783"/>
          <w:tab w:val="num" w:pos="851"/>
        </w:tabs>
        <w:spacing w:before="240"/>
        <w:ind w:left="1134" w:hanging="1134"/>
        <w:outlineLvl w:val="0"/>
        <w:rPr>
          <w:rFonts w:cs="Arial"/>
          <w:b/>
          <w:kern w:val="28"/>
          <w:sz w:val="30"/>
          <w:szCs w:val="30"/>
        </w:rPr>
      </w:pPr>
      <w:bookmarkStart w:id="166" w:name="_Toc452126192"/>
      <w:bookmarkStart w:id="167" w:name="_Toc226875564"/>
      <w:r w:rsidRPr="00B82CA4">
        <w:rPr>
          <w:rFonts w:cs="Arial"/>
          <w:b/>
          <w:kern w:val="28"/>
          <w:sz w:val="30"/>
          <w:szCs w:val="30"/>
        </w:rPr>
        <w:t>SBF167 PREMIUM INCOME SPLIT BY RISK CODE</w:t>
      </w:r>
      <w:bookmarkEnd w:id="166"/>
    </w:p>
    <w:p w:rsidR="001515B4" w:rsidRPr="00B82CA4" w:rsidRDefault="00690EC7" w:rsidP="00825685">
      <w:pPr>
        <w:numPr>
          <w:ilvl w:val="1"/>
          <w:numId w:val="6"/>
        </w:numPr>
        <w:spacing w:before="240"/>
        <w:ind w:left="720" w:hanging="720"/>
        <w:outlineLvl w:val="1"/>
        <w:rPr>
          <w:rFonts w:cs="Arial"/>
          <w:b/>
          <w:sz w:val="24"/>
          <w:szCs w:val="24"/>
          <w:lang w:eastAsia="en-GB"/>
        </w:rPr>
      </w:pPr>
      <w:r w:rsidRPr="00B82CA4">
        <w:rPr>
          <w:rFonts w:cs="Arial"/>
          <w:b/>
          <w:sz w:val="24"/>
          <w:szCs w:val="24"/>
          <w:lang w:eastAsia="en-GB"/>
        </w:rPr>
        <w:t xml:space="preserve">      </w:t>
      </w:r>
      <w:r w:rsidR="001515B4" w:rsidRPr="00B82CA4">
        <w:rPr>
          <w:rFonts w:cs="Arial"/>
          <w:b/>
          <w:sz w:val="24"/>
          <w:szCs w:val="24"/>
          <w:lang w:eastAsia="en-GB"/>
        </w:rPr>
        <w:t>Summary</w:t>
      </w:r>
    </w:p>
    <w:p w:rsidR="001515B4" w:rsidRPr="00B82CA4" w:rsidRDefault="001515B4" w:rsidP="00825685">
      <w:pPr>
        <w:numPr>
          <w:ilvl w:val="2"/>
          <w:numId w:val="6"/>
        </w:numPr>
        <w:tabs>
          <w:tab w:val="num" w:pos="1134"/>
        </w:tabs>
        <w:spacing w:before="240"/>
        <w:ind w:left="1134" w:hanging="1134"/>
        <w:outlineLvl w:val="2"/>
        <w:rPr>
          <w:rFonts w:cs="Arial"/>
          <w:szCs w:val="22"/>
        </w:rPr>
      </w:pPr>
      <w:r w:rsidRPr="00B82CA4">
        <w:rPr>
          <w:rFonts w:cs="Arial"/>
          <w:szCs w:val="22"/>
        </w:rPr>
        <w:t xml:space="preserve">This section has been generated based on the information provided in the Risk Code Mappings section and Underwriting Performance Forecast (SBF105) section.  </w:t>
      </w:r>
    </w:p>
    <w:p w:rsidR="001515B4" w:rsidRPr="00B82CA4" w:rsidRDefault="001515B4" w:rsidP="00825685">
      <w:pPr>
        <w:numPr>
          <w:ilvl w:val="2"/>
          <w:numId w:val="6"/>
        </w:numPr>
        <w:tabs>
          <w:tab w:val="num" w:pos="1134"/>
        </w:tabs>
        <w:spacing w:before="240"/>
        <w:ind w:left="1134" w:hanging="1134"/>
        <w:outlineLvl w:val="2"/>
        <w:rPr>
          <w:rFonts w:cs="Arial"/>
          <w:szCs w:val="22"/>
        </w:rPr>
      </w:pPr>
      <w:r w:rsidRPr="00B82CA4">
        <w:rPr>
          <w:rFonts w:cs="Arial"/>
          <w:szCs w:val="22"/>
        </w:rPr>
        <w:t xml:space="preserve">The Gross Written Premium will include SPA premiums. The Stamp Gross Written premium will exclude SPA premiums and the Stamp Net Written Premium will also exclude SPA premiums. </w:t>
      </w:r>
    </w:p>
    <w:p w:rsidR="00261035" w:rsidRPr="00B82CA4" w:rsidRDefault="00261035" w:rsidP="00261035">
      <w:pPr>
        <w:spacing w:before="240"/>
        <w:outlineLvl w:val="2"/>
        <w:rPr>
          <w:rFonts w:cs="Arial"/>
          <w:sz w:val="24"/>
        </w:rPr>
      </w:pPr>
    </w:p>
    <w:p w:rsidR="001515B4" w:rsidRPr="00B82CA4" w:rsidRDefault="001515B4" w:rsidP="006A2524">
      <w:pPr>
        <w:numPr>
          <w:ilvl w:val="0"/>
          <w:numId w:val="6"/>
        </w:numPr>
        <w:tabs>
          <w:tab w:val="clear" w:pos="783"/>
          <w:tab w:val="num" w:pos="1134"/>
        </w:tabs>
        <w:spacing w:before="240"/>
        <w:ind w:left="720" w:hanging="720"/>
        <w:outlineLvl w:val="0"/>
        <w:rPr>
          <w:rFonts w:cs="Arial"/>
          <w:b/>
          <w:kern w:val="28"/>
          <w:sz w:val="30"/>
          <w:szCs w:val="30"/>
        </w:rPr>
      </w:pPr>
      <w:bookmarkStart w:id="168" w:name="_Toc452126193"/>
      <w:r w:rsidRPr="00B82CA4">
        <w:rPr>
          <w:rFonts w:cs="Arial"/>
          <w:b/>
          <w:kern w:val="28"/>
          <w:sz w:val="30"/>
          <w:szCs w:val="30"/>
        </w:rPr>
        <w:t>SBF420 CAPACITY INFORMATION</w:t>
      </w:r>
      <w:bookmarkEnd w:id="168"/>
    </w:p>
    <w:p w:rsidR="00261035" w:rsidRPr="00B82CA4" w:rsidRDefault="00261035" w:rsidP="00261035">
      <w:pPr>
        <w:spacing w:before="240"/>
        <w:outlineLvl w:val="0"/>
        <w:rPr>
          <w:rFonts w:cs="Arial"/>
          <w:b/>
          <w:kern w:val="28"/>
          <w:sz w:val="30"/>
          <w:szCs w:val="30"/>
        </w:rPr>
      </w:pPr>
    </w:p>
    <w:p w:rsidR="00261035" w:rsidRPr="00B82CA4" w:rsidRDefault="00690EC7" w:rsidP="00690EC7">
      <w:pPr>
        <w:numPr>
          <w:ilvl w:val="1"/>
          <w:numId w:val="6"/>
        </w:numPr>
        <w:tabs>
          <w:tab w:val="num" w:pos="851"/>
        </w:tabs>
        <w:spacing w:before="240"/>
        <w:ind w:left="720" w:hanging="720"/>
        <w:outlineLvl w:val="1"/>
        <w:rPr>
          <w:rFonts w:cs="Arial"/>
          <w:b/>
          <w:sz w:val="26"/>
          <w:szCs w:val="26"/>
        </w:rPr>
      </w:pPr>
      <w:r w:rsidRPr="00B82CA4">
        <w:rPr>
          <w:rFonts w:cs="Arial"/>
          <w:b/>
          <w:sz w:val="24"/>
          <w:szCs w:val="24"/>
          <w:lang w:eastAsia="en-GB"/>
        </w:rPr>
        <w:t xml:space="preserve">    </w:t>
      </w:r>
      <w:r w:rsidR="001515B4" w:rsidRPr="00B82CA4">
        <w:rPr>
          <w:rFonts w:cs="Arial"/>
          <w:b/>
          <w:sz w:val="24"/>
          <w:szCs w:val="24"/>
          <w:lang w:eastAsia="en-GB"/>
        </w:rPr>
        <w:t>Summary</w:t>
      </w:r>
    </w:p>
    <w:p w:rsidR="00690EC7" w:rsidRPr="00B82CA4" w:rsidRDefault="00690EC7" w:rsidP="00690EC7">
      <w:pPr>
        <w:spacing w:before="240"/>
        <w:ind w:left="720"/>
        <w:outlineLvl w:val="1"/>
        <w:rPr>
          <w:rFonts w:cs="Arial"/>
          <w:b/>
          <w:sz w:val="26"/>
          <w:szCs w:val="26"/>
        </w:rPr>
      </w:pPr>
    </w:p>
    <w:p w:rsidR="001515B4" w:rsidRPr="00B82CA4" w:rsidRDefault="001515B4" w:rsidP="00825685">
      <w:pPr>
        <w:pStyle w:val="Heading3"/>
        <w:tabs>
          <w:tab w:val="clear" w:pos="851"/>
          <w:tab w:val="left" w:pos="1134"/>
        </w:tabs>
        <w:ind w:left="1146" w:hanging="1146"/>
      </w:pPr>
      <w:r w:rsidRPr="00B82CA4">
        <w:t xml:space="preserve">This section provides a breakdown of the </w:t>
      </w:r>
      <w:r w:rsidR="003D6784" w:rsidRPr="00B82CA4">
        <w:rPr>
          <w:rFonts w:cs="Arial"/>
          <w:color w:val="auto"/>
        </w:rPr>
        <w:t>SPA’s</w:t>
      </w:r>
      <w:r w:rsidRPr="00B82CA4">
        <w:t xml:space="preserve"> estimated capacity, for the prospective year of account. It also provides expected member participations of aligned corporate members.</w:t>
      </w:r>
    </w:p>
    <w:p w:rsidR="001515B4" w:rsidRPr="00B82CA4" w:rsidRDefault="00690EC7" w:rsidP="00261035">
      <w:pPr>
        <w:numPr>
          <w:ilvl w:val="1"/>
          <w:numId w:val="6"/>
        </w:numPr>
        <w:tabs>
          <w:tab w:val="num" w:pos="851"/>
        </w:tabs>
        <w:spacing w:before="240"/>
        <w:ind w:left="709" w:hanging="709"/>
        <w:outlineLvl w:val="1"/>
        <w:rPr>
          <w:rFonts w:cs="Arial"/>
          <w:b/>
          <w:sz w:val="26"/>
          <w:szCs w:val="26"/>
        </w:rPr>
      </w:pPr>
      <w:r w:rsidRPr="00B82CA4">
        <w:rPr>
          <w:rFonts w:cs="Arial"/>
          <w:b/>
          <w:sz w:val="24"/>
          <w:szCs w:val="24"/>
          <w:lang w:eastAsia="en-GB"/>
        </w:rPr>
        <w:t xml:space="preserve">    </w:t>
      </w:r>
      <w:r w:rsidR="001515B4" w:rsidRPr="00B82CA4">
        <w:rPr>
          <w:rFonts w:cs="Arial"/>
          <w:b/>
          <w:sz w:val="24"/>
          <w:szCs w:val="24"/>
          <w:lang w:eastAsia="en-GB"/>
        </w:rPr>
        <w:t>Key Points</w:t>
      </w:r>
    </w:p>
    <w:p w:rsidR="001515B4" w:rsidRPr="00B82CA4" w:rsidRDefault="001515B4" w:rsidP="00261035">
      <w:pPr>
        <w:numPr>
          <w:ilvl w:val="2"/>
          <w:numId w:val="6"/>
        </w:numPr>
        <w:tabs>
          <w:tab w:val="num" w:pos="1134"/>
        </w:tabs>
        <w:spacing w:before="240"/>
        <w:ind w:left="1134" w:hanging="1134"/>
        <w:outlineLvl w:val="2"/>
        <w:rPr>
          <w:rFonts w:cs="Arial"/>
          <w:szCs w:val="22"/>
          <w:lang w:eastAsia="en-GB"/>
        </w:rPr>
      </w:pPr>
      <w:r w:rsidRPr="00B82CA4">
        <w:rPr>
          <w:rFonts w:cs="Arial"/>
          <w:szCs w:val="22"/>
        </w:rPr>
        <w:t>The Estimated Level of Support column will show the total capacity of the syndicate split by various types – this includes new and existing capacity.</w:t>
      </w:r>
    </w:p>
    <w:p w:rsidR="001515B4" w:rsidRPr="00B82CA4" w:rsidRDefault="001515B4" w:rsidP="00261035">
      <w:pPr>
        <w:numPr>
          <w:ilvl w:val="2"/>
          <w:numId w:val="6"/>
        </w:numPr>
        <w:tabs>
          <w:tab w:val="num" w:pos="1134"/>
        </w:tabs>
        <w:spacing w:before="240"/>
        <w:ind w:left="1134" w:hanging="1134"/>
        <w:outlineLvl w:val="2"/>
        <w:rPr>
          <w:rFonts w:cs="Arial"/>
          <w:szCs w:val="22"/>
          <w:lang w:eastAsia="en-GB"/>
        </w:rPr>
      </w:pPr>
      <w:r w:rsidRPr="00B82CA4">
        <w:rPr>
          <w:rFonts w:cs="Arial"/>
          <w:szCs w:val="22"/>
          <w:lang w:eastAsia="en-GB"/>
        </w:rPr>
        <w:t>For the Host, any SPA capacity should be included in line 5 “</w:t>
      </w:r>
      <w:r w:rsidR="00ED376F">
        <w:rPr>
          <w:rFonts w:cs="Arial"/>
          <w:szCs w:val="22"/>
          <w:lang w:eastAsia="en-GB"/>
        </w:rPr>
        <w:t xml:space="preserve">Total </w:t>
      </w:r>
      <w:r w:rsidRPr="00B82CA4">
        <w:rPr>
          <w:rFonts w:cs="Arial"/>
          <w:szCs w:val="22"/>
          <w:lang w:eastAsia="en-GB"/>
        </w:rPr>
        <w:t>Capacity</w:t>
      </w:r>
      <w:r w:rsidR="00ED376F">
        <w:rPr>
          <w:rFonts w:cs="Arial"/>
          <w:szCs w:val="22"/>
          <w:lang w:eastAsia="en-GB"/>
        </w:rPr>
        <w:t xml:space="preserve"> Ceded to SPA</w:t>
      </w:r>
      <w:r w:rsidRPr="00B82CA4">
        <w:rPr>
          <w:rFonts w:cs="Arial"/>
          <w:szCs w:val="22"/>
          <w:lang w:eastAsia="en-GB"/>
        </w:rPr>
        <w:t xml:space="preserve">”. </w:t>
      </w:r>
      <w:r w:rsidRPr="00B82CA4">
        <w:rPr>
          <w:rFonts w:cs="Arial"/>
          <w:szCs w:val="22"/>
        </w:rPr>
        <w:t>For the SPA, the total capacity as shown on the form 420 will match the line 5 “</w:t>
      </w:r>
      <w:r w:rsidR="00ED376F">
        <w:rPr>
          <w:rFonts w:cs="Arial"/>
          <w:szCs w:val="22"/>
          <w:lang w:eastAsia="en-GB"/>
        </w:rPr>
        <w:t xml:space="preserve">Total </w:t>
      </w:r>
      <w:r w:rsidR="00ED376F" w:rsidRPr="00B82CA4">
        <w:rPr>
          <w:rFonts w:cs="Arial"/>
          <w:szCs w:val="22"/>
          <w:lang w:eastAsia="en-GB"/>
        </w:rPr>
        <w:t>Capacity</w:t>
      </w:r>
      <w:r w:rsidR="00ED376F">
        <w:rPr>
          <w:rFonts w:cs="Arial"/>
          <w:szCs w:val="22"/>
          <w:lang w:eastAsia="en-GB"/>
        </w:rPr>
        <w:t xml:space="preserve"> Ceded to SPA</w:t>
      </w:r>
      <w:r w:rsidRPr="00B82CA4">
        <w:rPr>
          <w:rFonts w:cs="Arial"/>
          <w:szCs w:val="22"/>
        </w:rPr>
        <w:t xml:space="preserve">” entry from the host. </w:t>
      </w:r>
    </w:p>
    <w:p w:rsidR="001515B4" w:rsidRPr="00B82CA4" w:rsidRDefault="001515B4" w:rsidP="001515B4">
      <w:pPr>
        <w:spacing w:before="240"/>
        <w:ind w:left="720"/>
        <w:outlineLvl w:val="1"/>
        <w:rPr>
          <w:rFonts w:cs="Arial"/>
          <w:sz w:val="24"/>
          <w:lang w:eastAsia="en-GB"/>
        </w:rPr>
      </w:pPr>
    </w:p>
    <w:p w:rsidR="001515B4" w:rsidRPr="00B82CA4" w:rsidRDefault="001515B4" w:rsidP="006A2524">
      <w:pPr>
        <w:numPr>
          <w:ilvl w:val="0"/>
          <w:numId w:val="6"/>
        </w:numPr>
        <w:tabs>
          <w:tab w:val="clear" w:pos="783"/>
          <w:tab w:val="num" w:pos="1134"/>
        </w:tabs>
        <w:spacing w:before="240"/>
        <w:ind w:left="720" w:hanging="720"/>
        <w:outlineLvl w:val="0"/>
        <w:rPr>
          <w:rFonts w:cs="Arial"/>
          <w:b/>
          <w:kern w:val="28"/>
          <w:sz w:val="30"/>
          <w:szCs w:val="30"/>
        </w:rPr>
      </w:pPr>
      <w:bookmarkStart w:id="169" w:name="_Toc452126194"/>
      <w:r w:rsidRPr="00B82CA4">
        <w:rPr>
          <w:rFonts w:cs="Arial"/>
          <w:b/>
          <w:kern w:val="28"/>
          <w:sz w:val="30"/>
          <w:szCs w:val="30"/>
        </w:rPr>
        <w:t>SBF443</w:t>
      </w:r>
      <w:r w:rsidR="00534E03" w:rsidRPr="00B82CA4">
        <w:rPr>
          <w:rFonts w:cs="Arial"/>
          <w:b/>
          <w:kern w:val="28"/>
          <w:sz w:val="30"/>
          <w:szCs w:val="30"/>
        </w:rPr>
        <w:t xml:space="preserve"> </w:t>
      </w:r>
      <w:r w:rsidRPr="00B82CA4">
        <w:rPr>
          <w:rFonts w:cs="Arial"/>
          <w:b/>
          <w:kern w:val="28"/>
          <w:sz w:val="30"/>
          <w:szCs w:val="30"/>
        </w:rPr>
        <w:t>UNDERWRITING CONTROLS</w:t>
      </w:r>
      <w:bookmarkEnd w:id="169"/>
    </w:p>
    <w:p w:rsidR="00BF1A01" w:rsidRPr="00B82CA4" w:rsidRDefault="00BF1A01" w:rsidP="00BF1A01">
      <w:pPr>
        <w:spacing w:before="240"/>
        <w:ind w:left="720"/>
        <w:outlineLvl w:val="0"/>
        <w:rPr>
          <w:rFonts w:cs="Arial"/>
          <w:b/>
          <w:kern w:val="28"/>
          <w:sz w:val="24"/>
        </w:rPr>
      </w:pP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This form includes details of absolute maximum, normal maximum gross and net retained lines by class of business.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The SPA gross line sizes by class of business should reflect the </w:t>
      </w:r>
      <w:r w:rsidR="00AB0402" w:rsidRPr="00B82CA4">
        <w:rPr>
          <w:rFonts w:cs="Arial"/>
          <w:szCs w:val="22"/>
        </w:rPr>
        <w:t>absolute maximum</w:t>
      </w:r>
      <w:r w:rsidRPr="00B82CA4">
        <w:rPr>
          <w:rFonts w:cs="Arial"/>
          <w:szCs w:val="22"/>
        </w:rPr>
        <w:t xml:space="preserve"> and normal maximum gross lines being ceded by the host to the SPA in accordance with the QS reinsurance </w:t>
      </w:r>
      <w:r w:rsidR="00ED376F" w:rsidRPr="00B82CA4">
        <w:rPr>
          <w:rFonts w:cs="Arial"/>
          <w:szCs w:val="22"/>
        </w:rPr>
        <w:t>contract and</w:t>
      </w:r>
      <w:r w:rsidRPr="00B82CA4">
        <w:rPr>
          <w:rFonts w:cs="Arial"/>
          <w:szCs w:val="22"/>
        </w:rPr>
        <w:t xml:space="preserve"> should be gross of any reinsurance shared with the host to protect these lines of business</w:t>
      </w:r>
      <w:r w:rsidR="00BF1A01" w:rsidRPr="00B82CA4">
        <w:rPr>
          <w:rFonts w:cs="Arial"/>
          <w:szCs w:val="22"/>
        </w:rPr>
        <w:t>.</w:t>
      </w:r>
      <w:r w:rsidRPr="00B82CA4">
        <w:rPr>
          <w:rFonts w:cs="Arial"/>
          <w:szCs w:val="22"/>
        </w:rPr>
        <w:t xml:space="preserve">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The SPA net retained lines by class of business shou</w:t>
      </w:r>
      <w:r w:rsidR="003D6784" w:rsidRPr="00B82CA4">
        <w:rPr>
          <w:rFonts w:cs="Arial"/>
          <w:szCs w:val="22"/>
        </w:rPr>
        <w:t xml:space="preserve">ld be after the benefit of all </w:t>
      </w:r>
      <w:r w:rsidRPr="00B82CA4">
        <w:rPr>
          <w:rFonts w:cs="Arial"/>
          <w:szCs w:val="22"/>
        </w:rPr>
        <w:t>reinsurance protecting the lines of business, whether shared with the host or purchased independently</w:t>
      </w:r>
      <w:r w:rsidR="00BF1A01" w:rsidRPr="00B82CA4">
        <w:rPr>
          <w:rFonts w:cs="Arial"/>
          <w:szCs w:val="22"/>
        </w:rPr>
        <w:t>.</w:t>
      </w:r>
      <w:r w:rsidRPr="00B82CA4">
        <w:rPr>
          <w:rFonts w:cs="Arial"/>
          <w:szCs w:val="22"/>
        </w:rPr>
        <w:t xml:space="preserve">       </w:t>
      </w:r>
    </w:p>
    <w:p w:rsidR="001515B4" w:rsidRPr="00B82CA4" w:rsidRDefault="001515B4" w:rsidP="001515B4">
      <w:pPr>
        <w:spacing w:before="240"/>
        <w:outlineLvl w:val="1"/>
        <w:rPr>
          <w:rFonts w:cs="Arial"/>
          <w:sz w:val="24"/>
        </w:rPr>
      </w:pPr>
    </w:p>
    <w:p w:rsidR="001515B4" w:rsidRPr="00B82CA4" w:rsidRDefault="001515B4" w:rsidP="006A2524">
      <w:pPr>
        <w:numPr>
          <w:ilvl w:val="0"/>
          <w:numId w:val="6"/>
        </w:numPr>
        <w:tabs>
          <w:tab w:val="clear" w:pos="783"/>
          <w:tab w:val="num" w:pos="1134"/>
        </w:tabs>
        <w:spacing w:before="240"/>
        <w:ind w:left="720" w:hanging="720"/>
        <w:outlineLvl w:val="0"/>
        <w:rPr>
          <w:rFonts w:cs="Arial"/>
          <w:b/>
          <w:kern w:val="28"/>
          <w:sz w:val="30"/>
          <w:szCs w:val="30"/>
        </w:rPr>
      </w:pPr>
      <w:bookmarkStart w:id="170" w:name="_Toc452126195"/>
      <w:r w:rsidRPr="00B82CA4">
        <w:rPr>
          <w:rFonts w:cs="Arial"/>
          <w:b/>
          <w:kern w:val="28"/>
          <w:sz w:val="30"/>
          <w:szCs w:val="30"/>
        </w:rPr>
        <w:t>SBF452 CATASTROPHE RISK</w:t>
      </w:r>
      <w:bookmarkEnd w:id="170"/>
    </w:p>
    <w:p w:rsidR="001515B4" w:rsidRPr="00B82CA4" w:rsidRDefault="001515B4" w:rsidP="001515B4">
      <w:pPr>
        <w:rPr>
          <w:rFonts w:cs="Arial"/>
          <w:b/>
          <w:color w:val="548DD4"/>
          <w:sz w:val="26"/>
        </w:rPr>
      </w:pPr>
    </w:p>
    <w:p w:rsidR="00BF1A01" w:rsidRPr="00B82CA4" w:rsidRDefault="001515B4" w:rsidP="001F6761">
      <w:pPr>
        <w:numPr>
          <w:ilvl w:val="1"/>
          <w:numId w:val="6"/>
        </w:numPr>
        <w:tabs>
          <w:tab w:val="num" w:pos="1134"/>
        </w:tabs>
        <w:spacing w:before="240"/>
        <w:ind w:left="1134" w:hanging="1134"/>
        <w:outlineLvl w:val="1"/>
        <w:rPr>
          <w:rFonts w:cs="Arial"/>
          <w:szCs w:val="22"/>
        </w:rPr>
      </w:pPr>
      <w:r w:rsidRPr="00B82CA4">
        <w:rPr>
          <w:rFonts w:cs="Arial"/>
          <w:szCs w:val="22"/>
        </w:rPr>
        <w:t xml:space="preserve">For AEP and RDS planning and reporting, a </w:t>
      </w:r>
      <w:r w:rsidR="003D6784" w:rsidRPr="00B82CA4">
        <w:rPr>
          <w:rFonts w:cs="Arial"/>
          <w:szCs w:val="22"/>
        </w:rPr>
        <w:t xml:space="preserve">SPA </w:t>
      </w:r>
      <w:r w:rsidRPr="00B82CA4">
        <w:rPr>
          <w:rFonts w:cs="Arial"/>
          <w:szCs w:val="22"/>
        </w:rPr>
        <w:t xml:space="preserve">should be considered simply as a reinsurer of the Host syndicate. Recoveries from the SPA should be treated in the same way as recoveries from any other reinsurer.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In particular, an SPA is not a Qualifying Quota Share arrangement. This means that the Host syndicate must report AEP 1-in 30 and RDS Gross losses before deducting recoveries from the SPA, as with any other reinsurer. Franchise Guidelines are assessed on the same basis. This rule applies regardless of the capital-structure, or other f</w:t>
      </w:r>
      <w:r w:rsidR="003D6784" w:rsidRPr="00B82CA4">
        <w:rPr>
          <w:rFonts w:cs="Arial"/>
          <w:szCs w:val="22"/>
        </w:rPr>
        <w:t>inancial relationship, between h</w:t>
      </w:r>
      <w:r w:rsidRPr="00B82CA4">
        <w:rPr>
          <w:rFonts w:cs="Arial"/>
          <w:szCs w:val="22"/>
        </w:rPr>
        <w:t xml:space="preserve">ost and SPA.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Lloyd’s acknowledges that this does lead to ‘double counting’ of Gross losses across the Host and SPA, as with all intra-syndicate reinsurances.</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Losses should be reported for Gross, Net and Final Net.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The SPA Gross losses should reflect the losses being ceded by the host to the SPA in accordance with the QS reinsurance contract, and should be gross of any reinsurance shared with the host to protect these lines of business</w:t>
      </w:r>
      <w:r w:rsidR="00BF1A01" w:rsidRPr="00B82CA4">
        <w:rPr>
          <w:rFonts w:cs="Arial"/>
          <w:szCs w:val="22"/>
        </w:rPr>
        <w:t>.</w:t>
      </w:r>
      <w:r w:rsidRPr="00B82CA4">
        <w:rPr>
          <w:rFonts w:cs="Arial"/>
          <w:szCs w:val="22"/>
        </w:rPr>
        <w:t xml:space="preserve">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The SPA Net retained losses should be after the benefit of </w:t>
      </w:r>
      <w:r w:rsidR="00BF1A01" w:rsidRPr="00B82CA4">
        <w:rPr>
          <w:rFonts w:cs="Arial"/>
          <w:szCs w:val="22"/>
        </w:rPr>
        <w:t xml:space="preserve">all </w:t>
      </w:r>
      <w:r w:rsidRPr="00B82CA4">
        <w:rPr>
          <w:rFonts w:cs="Arial"/>
          <w:szCs w:val="22"/>
        </w:rPr>
        <w:t>reinsurance protecting the SPAs gross losses, whether shared with the host or purchased independently</w:t>
      </w:r>
      <w:r w:rsidR="00BF1A01" w:rsidRPr="00B82CA4">
        <w:rPr>
          <w:rFonts w:cs="Arial"/>
          <w:szCs w:val="22"/>
        </w:rPr>
        <w:t>.</w:t>
      </w:r>
      <w:r w:rsidRPr="00B82CA4">
        <w:rPr>
          <w:rFonts w:cs="Arial"/>
          <w:szCs w:val="22"/>
        </w:rPr>
        <w:t xml:space="preserve">       </w:t>
      </w:r>
    </w:p>
    <w:p w:rsidR="001515B4" w:rsidRPr="00B82CA4" w:rsidRDefault="001515B4" w:rsidP="001515B4">
      <w:pPr>
        <w:rPr>
          <w:rFonts w:cs="Arial"/>
          <w:sz w:val="24"/>
        </w:rPr>
      </w:pPr>
    </w:p>
    <w:p w:rsidR="001515B4" w:rsidRPr="00B82CA4" w:rsidRDefault="001515B4" w:rsidP="006A2524">
      <w:pPr>
        <w:numPr>
          <w:ilvl w:val="0"/>
          <w:numId w:val="6"/>
        </w:numPr>
        <w:tabs>
          <w:tab w:val="clear" w:pos="783"/>
          <w:tab w:val="num" w:pos="1134"/>
        </w:tabs>
        <w:spacing w:before="240"/>
        <w:ind w:left="720" w:hanging="720"/>
        <w:outlineLvl w:val="0"/>
        <w:rPr>
          <w:rFonts w:cs="Arial"/>
          <w:b/>
          <w:kern w:val="28"/>
          <w:sz w:val="30"/>
          <w:szCs w:val="30"/>
        </w:rPr>
      </w:pPr>
      <w:bookmarkStart w:id="171" w:name="_Toc452126196"/>
      <w:r w:rsidRPr="00B82CA4">
        <w:rPr>
          <w:rFonts w:cs="Arial"/>
          <w:b/>
          <w:kern w:val="28"/>
          <w:sz w:val="30"/>
          <w:szCs w:val="30"/>
        </w:rPr>
        <w:t>SBF990 Additional required information</w:t>
      </w:r>
      <w:bookmarkEnd w:id="171"/>
      <w:r w:rsidRPr="00B82CA4">
        <w:rPr>
          <w:rFonts w:cs="Arial"/>
          <w:b/>
          <w:kern w:val="28"/>
          <w:sz w:val="30"/>
          <w:szCs w:val="30"/>
        </w:rPr>
        <w:t xml:space="preserve"> </w:t>
      </w:r>
    </w:p>
    <w:p w:rsidR="00BF1A01" w:rsidRPr="00B82CA4" w:rsidRDefault="00BF1A01" w:rsidP="001F6761">
      <w:pPr>
        <w:spacing w:before="120"/>
        <w:ind w:left="720"/>
        <w:outlineLvl w:val="0"/>
        <w:rPr>
          <w:rFonts w:cs="Arial"/>
          <w:b/>
          <w:kern w:val="28"/>
          <w:sz w:val="24"/>
        </w:rPr>
      </w:pP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The SPA should have a business plan narrative of its own which explains its relationship to the host syndicate and its raison d’être. Syndicates should supply a copy of the proposed draft SPA reinsurance contract wording as part of its business plan submission to Lloyd’s, and confirmation that the SBF has been completed on a basis consistent with the contract.  </w:t>
      </w:r>
    </w:p>
    <w:p w:rsidR="001515B4" w:rsidRPr="00B82CA4" w:rsidRDefault="001515B4" w:rsidP="00534E03">
      <w:pPr>
        <w:numPr>
          <w:ilvl w:val="1"/>
          <w:numId w:val="6"/>
        </w:numPr>
        <w:tabs>
          <w:tab w:val="num" w:pos="1134"/>
        </w:tabs>
        <w:spacing w:before="240"/>
        <w:ind w:left="1134" w:hanging="1134"/>
        <w:outlineLvl w:val="1"/>
        <w:rPr>
          <w:rFonts w:cs="Arial"/>
          <w:szCs w:val="22"/>
        </w:rPr>
      </w:pPr>
      <w:r w:rsidRPr="00B82CA4">
        <w:rPr>
          <w:rFonts w:cs="Arial"/>
          <w:szCs w:val="22"/>
        </w:rPr>
        <w:t xml:space="preserve">Following plan </w:t>
      </w:r>
      <w:r w:rsidR="00AF3226" w:rsidRPr="00B82CA4">
        <w:rPr>
          <w:rFonts w:cs="Arial"/>
          <w:szCs w:val="22"/>
        </w:rPr>
        <w:t>approval,</w:t>
      </w:r>
      <w:r w:rsidRPr="00B82CA4">
        <w:rPr>
          <w:rFonts w:cs="Arial"/>
          <w:szCs w:val="22"/>
        </w:rPr>
        <w:t xml:space="preserve"> a copy of the final SPA reinsurance contract is to be provided to Lloyd’s.</w:t>
      </w:r>
    </w:p>
    <w:p w:rsidR="00BF1A01" w:rsidRPr="00B82CA4" w:rsidRDefault="00BF1A01" w:rsidP="00BF1A01">
      <w:pPr>
        <w:tabs>
          <w:tab w:val="num" w:pos="1134"/>
        </w:tabs>
        <w:spacing w:before="240"/>
        <w:ind w:left="1134"/>
        <w:outlineLvl w:val="1"/>
        <w:rPr>
          <w:rFonts w:cs="Arial"/>
          <w:sz w:val="24"/>
        </w:rPr>
      </w:pPr>
    </w:p>
    <w:p w:rsidR="00BF1A01" w:rsidRPr="00B82CA4" w:rsidRDefault="001515B4" w:rsidP="001F6761">
      <w:pPr>
        <w:numPr>
          <w:ilvl w:val="0"/>
          <w:numId w:val="6"/>
        </w:numPr>
        <w:tabs>
          <w:tab w:val="clear" w:pos="783"/>
          <w:tab w:val="num" w:pos="1134"/>
        </w:tabs>
        <w:spacing w:before="240"/>
        <w:ind w:left="720" w:hanging="720"/>
        <w:outlineLvl w:val="0"/>
        <w:rPr>
          <w:rFonts w:cs="Arial"/>
          <w:b/>
          <w:kern w:val="28"/>
          <w:sz w:val="30"/>
          <w:szCs w:val="30"/>
        </w:rPr>
      </w:pPr>
      <w:bookmarkStart w:id="172" w:name="_Toc452126197"/>
      <w:r w:rsidRPr="00B82CA4">
        <w:rPr>
          <w:rFonts w:cs="Arial"/>
          <w:b/>
          <w:kern w:val="28"/>
          <w:sz w:val="30"/>
          <w:szCs w:val="30"/>
        </w:rPr>
        <w:t>Other SBF forms</w:t>
      </w:r>
      <w:bookmarkEnd w:id="172"/>
      <w:r w:rsidRPr="00B82CA4">
        <w:rPr>
          <w:rFonts w:cs="Arial"/>
          <w:b/>
          <w:kern w:val="28"/>
          <w:sz w:val="30"/>
          <w:szCs w:val="30"/>
        </w:rPr>
        <w:t xml:space="preserve"> </w:t>
      </w:r>
    </w:p>
    <w:p w:rsidR="001F6761" w:rsidRPr="00B82CA4" w:rsidRDefault="001F6761" w:rsidP="001F6761">
      <w:pPr>
        <w:spacing w:before="120"/>
        <w:outlineLvl w:val="0"/>
        <w:rPr>
          <w:rFonts w:cs="Arial"/>
          <w:b/>
          <w:kern w:val="28"/>
          <w:sz w:val="30"/>
          <w:szCs w:val="30"/>
        </w:rPr>
      </w:pPr>
    </w:p>
    <w:p w:rsidR="001515B4" w:rsidRPr="00B82CA4" w:rsidRDefault="001515B4" w:rsidP="00235165">
      <w:pPr>
        <w:numPr>
          <w:ilvl w:val="1"/>
          <w:numId w:val="6"/>
        </w:numPr>
        <w:tabs>
          <w:tab w:val="num" w:pos="1276"/>
        </w:tabs>
        <w:spacing w:before="240"/>
        <w:ind w:left="1134" w:hanging="1134"/>
        <w:outlineLvl w:val="1"/>
        <w:rPr>
          <w:rFonts w:cs="Arial"/>
          <w:szCs w:val="22"/>
        </w:rPr>
      </w:pPr>
      <w:r w:rsidRPr="00B82CA4">
        <w:rPr>
          <w:rFonts w:cs="Arial"/>
          <w:szCs w:val="22"/>
        </w:rPr>
        <w:t xml:space="preserve">All other SBF forms, where no specified SPA instructions have been set should be completed following the SBF instructions issued for the stand-alone syndicates. </w:t>
      </w:r>
    </w:p>
    <w:bookmarkEnd w:id="167"/>
    <w:p w:rsidR="00BC468A" w:rsidRPr="00E047C6" w:rsidRDefault="00BC468A" w:rsidP="006621E3">
      <w:pPr>
        <w:spacing w:before="240"/>
        <w:ind w:left="720"/>
        <w:outlineLvl w:val="1"/>
        <w:rPr>
          <w:rFonts w:cs="Arial"/>
          <w:szCs w:val="22"/>
        </w:rPr>
      </w:pPr>
    </w:p>
    <w:p w:rsidR="00525577" w:rsidRPr="00BC468A" w:rsidRDefault="00525577" w:rsidP="00F620CD">
      <w:pPr>
        <w:rPr>
          <w:rFonts w:cs="Arial"/>
        </w:rPr>
      </w:pPr>
    </w:p>
    <w:sectPr w:rsidR="00525577" w:rsidRPr="00BC468A" w:rsidSect="0043413C">
      <w:pgSz w:w="11908" w:h="16833" w:code="9"/>
      <w:pgMar w:top="1418" w:right="1418" w:bottom="1418" w:left="851" w:header="646" w:footer="3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99" w:rsidRDefault="00CA3299">
      <w:r>
        <w:separator/>
      </w:r>
    </w:p>
    <w:p w:rsidR="00CA3299" w:rsidRDefault="00CA3299"/>
  </w:endnote>
  <w:endnote w:type="continuationSeparator" w:id="0">
    <w:p w:rsidR="00CA3299" w:rsidRDefault="00CA3299">
      <w:r>
        <w:continuationSeparator/>
      </w:r>
    </w:p>
    <w:p w:rsidR="00CA3299" w:rsidRDefault="00CA3299"/>
  </w:endnote>
  <w:endnote w:type="continuationNotice" w:id="1">
    <w:p w:rsidR="00CA3299" w:rsidRDefault="00CA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Ylogo">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a Lloyds">
    <w:altName w:val="Calibri"/>
    <w:charset w:val="00"/>
    <w:family w:val="auto"/>
    <w:pitch w:val="variable"/>
    <w:sig w:usb0="80000023" w:usb1="40000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C" w:rsidRDefault="00BA7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A3" w:rsidRDefault="003A52A3">
    <w:pPr>
      <w:pStyle w:val="Footer"/>
      <w:jc w:val="right"/>
    </w:pPr>
    <w:r>
      <w:rPr>
        <w:noProof/>
      </w:rPr>
      <mc:AlternateContent>
        <mc:Choice Requires="wps">
          <w:drawing>
            <wp:anchor distT="0" distB="0" distL="114300" distR="114300" simplePos="0" relativeHeight="251659264" behindDoc="0" locked="0" layoutInCell="0" allowOverlap="1" wp14:anchorId="11C35FD0" wp14:editId="0F3F6E8E">
              <wp:simplePos x="0" y="0"/>
              <wp:positionH relativeFrom="page">
                <wp:posOffset>0</wp:posOffset>
              </wp:positionH>
              <wp:positionV relativeFrom="page">
                <wp:posOffset>10224770</wp:posOffset>
              </wp:positionV>
              <wp:extent cx="7561580" cy="273050"/>
              <wp:effectExtent l="0" t="0" r="0" b="12700"/>
              <wp:wrapNone/>
              <wp:docPr id="25" name="MSIPCMb26d42979224409d0b88a01d" descr="{&quot;HashCode&quot;:-82992868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158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2A3" w:rsidRPr="00555080" w:rsidRDefault="003A52A3" w:rsidP="00555080">
                          <w:pPr>
                            <w:jc w:val="center"/>
                            <w:rPr>
                              <w:rFonts w:ascii="Calibri" w:hAnsi="Calibri" w:cs="Calibri"/>
                              <w:color w:val="000000"/>
                              <w:sz w:val="20"/>
                            </w:rPr>
                          </w:pPr>
                          <w:r w:rsidRPr="00555080">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C35FD0" id="_x0000_t202" coordsize="21600,21600" o:spt="202" path="m,l,21600r21600,l21600,xe">
              <v:stroke joinstyle="miter"/>
              <v:path gradientshapeok="t" o:connecttype="rect"/>
            </v:shapetype>
            <v:shape id="MSIPCMb26d42979224409d0b88a01d" o:spid="_x0000_s1050" type="#_x0000_t202" alt="{&quot;HashCode&quot;:-829928686,&quot;Height&quot;:841.0,&quot;Width&quot;:595.0,&quot;Placement&quot;:&quot;Footer&quot;,&quot;Index&quot;:&quot;Primary&quot;,&quot;Section&quot;:1,&quot;Top&quot;:0.0,&quot;Left&quot;:0.0}" style="position:absolute;left:0;text-align:left;margin-left:0;margin-top:805.1pt;width:595.4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" o:allowincell="f" filled="f" stroked="f" strokeweight=".5pt">
              <v:textbox inset=",0,,0">
                <w:txbxContent>
                  <w:p w:rsidR="003A52A3" w:rsidRPr="00555080" w:rsidRDefault="003A52A3" w:rsidP="00555080">
                    <w:pPr>
                      <w:jc w:val="center"/>
                      <w:rPr>
                        <w:rFonts w:ascii="Calibri" w:hAnsi="Calibri" w:cs="Calibri"/>
                        <w:color w:val="000000"/>
                        <w:sz w:val="20"/>
                      </w:rPr>
                    </w:pPr>
                    <w:r w:rsidRPr="00555080">
                      <w:rPr>
                        <w:rFonts w:ascii="Calibri" w:hAnsi="Calibri" w:cs="Calibri"/>
                        <w:color w:val="000000"/>
                        <w:sz w:val="20"/>
                      </w:rPr>
                      <w:t>Classification: Confidential</w:t>
                    </w:r>
                  </w:p>
                </w:txbxContent>
              </v:textbox>
              <w10:wrap anchorx="page" anchory="page"/>
            </v:shape>
          </w:pict>
        </mc:Fallback>
      </mc:AlternateContent>
    </w:r>
    <w:r>
      <w:t xml:space="preserve">Page | </w:t>
    </w:r>
    <w:r>
      <w:fldChar w:fldCharType="begin"/>
    </w:r>
    <w:r>
      <w:instrText xml:space="preserve"> PAGE   \* MERGEFORMAT </w:instrText>
    </w:r>
    <w:r>
      <w:fldChar w:fldCharType="separate"/>
    </w:r>
    <w:r>
      <w:rPr>
        <w:noProof/>
      </w:rPr>
      <w:t>45</w:t>
    </w:r>
    <w:r>
      <w:rPr>
        <w:noProof/>
      </w:rPr>
      <w:fldChar w:fldCharType="end"/>
    </w:r>
    <w:r>
      <w:t xml:space="preserve"> </w:t>
    </w:r>
  </w:p>
  <w:p w:rsidR="003A52A3" w:rsidRPr="00963B32" w:rsidRDefault="003A52A3" w:rsidP="00963B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2A3" w:rsidRDefault="003A52A3" w:rsidP="00B9025D">
    <w:pPr>
      <w:pStyle w:val="Footer"/>
      <w:jc w:val="right"/>
    </w:pPr>
    <w:r>
      <w:rPr>
        <w:noProof/>
      </w:rPr>
      <mc:AlternateContent>
        <mc:Choice Requires="wps">
          <w:drawing>
            <wp:anchor distT="0" distB="0" distL="114300" distR="114300" simplePos="0" relativeHeight="251660288" behindDoc="0" locked="0" layoutInCell="0" allowOverlap="1" wp14:anchorId="0F80F5B6" wp14:editId="615EFC77">
              <wp:simplePos x="0" y="0"/>
              <wp:positionH relativeFrom="page">
                <wp:posOffset>0</wp:posOffset>
              </wp:positionH>
              <wp:positionV relativeFrom="page">
                <wp:posOffset>10224770</wp:posOffset>
              </wp:positionV>
              <wp:extent cx="7561580" cy="273050"/>
              <wp:effectExtent l="0" t="0" r="0" b="12700"/>
              <wp:wrapNone/>
              <wp:docPr id="26" name="MSIPCM72b7426b8bf40505e1a4c4f8" descr="{&quot;HashCode&quot;:-82992868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158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A52A3" w:rsidRPr="00555080" w:rsidRDefault="003A52A3" w:rsidP="00555080">
                          <w:pPr>
                            <w:jc w:val="center"/>
                            <w:rPr>
                              <w:rFonts w:ascii="Calibri" w:hAnsi="Calibri" w:cs="Calibri"/>
                              <w:color w:val="000000"/>
                              <w:sz w:val="20"/>
                            </w:rPr>
                          </w:pPr>
                          <w:r w:rsidRPr="00555080">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80F5B6" id="_x0000_t202" coordsize="21600,21600" o:spt="202" path="m,l,21600r21600,l21600,xe">
              <v:stroke joinstyle="miter"/>
              <v:path gradientshapeok="t" o:connecttype="rect"/>
            </v:shapetype>
            <v:shape id="MSIPCM72b7426b8bf40505e1a4c4f8" o:spid="_x0000_s1051" type="#_x0000_t202" alt="{&quot;HashCode&quot;:-829928686,&quot;Height&quot;:841.0,&quot;Width&quot;:595.0,&quot;Placement&quot;:&quot;Footer&quot;,&quot;Index&quot;:&quot;FirstPage&quot;,&quot;Section&quot;:1,&quot;Top&quot;:0.0,&quot;Left&quot;:0.0}" style="position:absolute;left:0;text-align:left;margin-left:0;margin-top:805.1pt;width:595.4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" o:allowincell="f" filled="f" stroked="f" strokeweight=".5pt">
              <v:textbox inset=",0,,0">
                <w:txbxContent>
                  <w:p w:rsidR="003A52A3" w:rsidRPr="00555080" w:rsidRDefault="003A52A3" w:rsidP="00555080">
                    <w:pPr>
                      <w:jc w:val="center"/>
                      <w:rPr>
                        <w:rFonts w:ascii="Calibri" w:hAnsi="Calibri" w:cs="Calibri"/>
                        <w:color w:val="000000"/>
                        <w:sz w:val="20"/>
                      </w:rPr>
                    </w:pPr>
                    <w:r w:rsidRPr="00555080">
                      <w:rPr>
                        <w:rFonts w:ascii="Calibri" w:hAnsi="Calibri" w:cs="Calibri"/>
                        <w:color w:val="000000"/>
                        <w:sz w:val="20"/>
                      </w:rPr>
                      <w:t>Classification: Confidential</w:t>
                    </w:r>
                  </w:p>
                </w:txbxContent>
              </v:textbox>
              <w10:wrap anchorx="page" anchory="page"/>
            </v:shape>
          </w:pict>
        </mc:Fallback>
      </mc:AlternateContent>
    </w: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p w:rsidR="003A52A3" w:rsidRDefault="003A5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99" w:rsidRDefault="00CA3299">
      <w:r>
        <w:separator/>
      </w:r>
    </w:p>
    <w:p w:rsidR="00CA3299" w:rsidRDefault="00CA3299"/>
  </w:footnote>
  <w:footnote w:type="continuationSeparator" w:id="0">
    <w:p w:rsidR="00CA3299" w:rsidRDefault="00CA3299">
      <w:r>
        <w:continuationSeparator/>
      </w:r>
    </w:p>
    <w:p w:rsidR="00CA3299" w:rsidRDefault="00CA3299"/>
  </w:footnote>
  <w:footnote w:type="continuationNotice" w:id="1">
    <w:p w:rsidR="00CA3299" w:rsidRDefault="00CA3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C" w:rsidRDefault="00BA7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C" w:rsidRDefault="00BA7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1C" w:rsidRDefault="00BA7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54002C"/>
    <w:lvl w:ilvl="0">
      <w:start w:val="1"/>
      <w:numFmt w:val="bullet"/>
      <w:pStyle w:val="ListBullet"/>
      <w:lvlText w:val=""/>
      <w:lvlJc w:val="left"/>
      <w:pPr>
        <w:tabs>
          <w:tab w:val="num" w:pos="357"/>
        </w:tabs>
        <w:ind w:left="357" w:hanging="357"/>
      </w:pPr>
      <w:rPr>
        <w:rFonts w:ascii="Symbol" w:hAnsi="Symbol" w:hint="default"/>
      </w:rPr>
    </w:lvl>
  </w:abstractNum>
  <w:abstractNum w:abstractNumId="1" w15:restartNumberingAfterBreak="0">
    <w:nsid w:val="01C92889"/>
    <w:multiLevelType w:val="hybridMultilevel"/>
    <w:tmpl w:val="84C8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65EB6"/>
    <w:multiLevelType w:val="hybridMultilevel"/>
    <w:tmpl w:val="7CF41612"/>
    <w:lvl w:ilvl="0" w:tplc="F6C2F5CC">
      <w:start w:val="1"/>
      <w:numFmt w:val="bullet"/>
      <w:lvlText w:val=""/>
      <w:lvlJc w:val="left"/>
      <w:pPr>
        <w:tabs>
          <w:tab w:val="num" w:pos="1135"/>
        </w:tabs>
        <w:ind w:left="1135"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112C7D92"/>
    <w:multiLevelType w:val="multilevel"/>
    <w:tmpl w:val="74BCB97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bullet"/>
      <w:lvlText w:val=""/>
      <w:lvlJc w:val="left"/>
      <w:pPr>
        <w:tabs>
          <w:tab w:val="num" w:pos="1296"/>
        </w:tabs>
        <w:ind w:left="1296" w:hanging="1296"/>
      </w:pPr>
      <w:rPr>
        <w:rFonts w:ascii="Symbol" w:hAnsi="Symbol" w:hint="default"/>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19017AAC"/>
    <w:multiLevelType w:val="hybridMultilevel"/>
    <w:tmpl w:val="F704E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EC3528"/>
    <w:multiLevelType w:val="hybridMultilevel"/>
    <w:tmpl w:val="AD8EB534"/>
    <w:lvl w:ilvl="0" w:tplc="EF9CDB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A085163"/>
    <w:multiLevelType w:val="hybridMultilevel"/>
    <w:tmpl w:val="21C298E8"/>
    <w:lvl w:ilvl="0" w:tplc="6D6A07DA">
      <w:numFmt w:val="decimal"/>
      <w:pStyle w:val="BulletB5"/>
      <w:lvlText w:val="AA5.%1"/>
      <w:lvlJc w:val="left"/>
      <w:pPr>
        <w:tabs>
          <w:tab w:val="num" w:pos="1418"/>
        </w:tabs>
        <w:ind w:left="1361" w:hanging="794"/>
      </w:pPr>
      <w:rPr>
        <w:rFonts w:hint="default"/>
      </w:rPr>
    </w:lvl>
    <w:lvl w:ilvl="1" w:tplc="619AB97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DE0B01"/>
    <w:multiLevelType w:val="hybridMultilevel"/>
    <w:tmpl w:val="B442B8C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hint="default"/>
      </w:rPr>
    </w:lvl>
    <w:lvl w:ilvl="2" w:tplc="08090017">
      <w:start w:val="1"/>
      <w:numFmt w:val="lowerLetter"/>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07D11A4"/>
    <w:multiLevelType w:val="hybridMultilevel"/>
    <w:tmpl w:val="CB62E2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1044A99"/>
    <w:multiLevelType w:val="hybridMultilevel"/>
    <w:tmpl w:val="036A3B9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25147FC"/>
    <w:multiLevelType w:val="multilevel"/>
    <w:tmpl w:val="9AE00B96"/>
    <w:lvl w:ilvl="0">
      <w:start w:val="1"/>
      <w:numFmt w:val="decimal"/>
      <w:isLgl/>
      <w:lvlText w:val="%1"/>
      <w:lvlJc w:val="left"/>
      <w:pPr>
        <w:tabs>
          <w:tab w:val="num" w:pos="3902"/>
        </w:tabs>
        <w:ind w:left="3905" w:hanging="360"/>
      </w:pPr>
      <w:rPr>
        <w:rFonts w:hint="default"/>
      </w:rPr>
    </w:lvl>
    <w:lvl w:ilvl="1">
      <w:start w:val="1"/>
      <w:numFmt w:val="decimal"/>
      <w:lvlText w:val="%1.%2"/>
      <w:lvlJc w:val="left"/>
      <w:pPr>
        <w:tabs>
          <w:tab w:val="num" w:pos="786"/>
        </w:tabs>
        <w:ind w:left="786"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1877E1"/>
    <w:multiLevelType w:val="hybridMultilevel"/>
    <w:tmpl w:val="A9F8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80555"/>
    <w:multiLevelType w:val="hybridMultilevel"/>
    <w:tmpl w:val="75FE26D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3" w15:restartNumberingAfterBreak="0">
    <w:nsid w:val="2850402D"/>
    <w:multiLevelType w:val="hybridMultilevel"/>
    <w:tmpl w:val="32C6511E"/>
    <w:lvl w:ilvl="0" w:tplc="2D4075F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04946"/>
    <w:multiLevelType w:val="hybridMultilevel"/>
    <w:tmpl w:val="A1E0BA4E"/>
    <w:lvl w:ilvl="0" w:tplc="08090011">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5" w15:restartNumberingAfterBreak="0">
    <w:nsid w:val="2AFE0143"/>
    <w:multiLevelType w:val="hybridMultilevel"/>
    <w:tmpl w:val="47BA40B2"/>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2C480E1B"/>
    <w:multiLevelType w:val="multilevel"/>
    <w:tmpl w:val="08BEB8B4"/>
    <w:lvl w:ilvl="0">
      <w:start w:val="22"/>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8A02234"/>
    <w:multiLevelType w:val="hybridMultilevel"/>
    <w:tmpl w:val="AF48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11">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85738"/>
    <w:multiLevelType w:val="hybridMultilevel"/>
    <w:tmpl w:val="711EE8EC"/>
    <w:lvl w:ilvl="0" w:tplc="F6C2F5CC">
      <w:start w:val="1"/>
      <w:numFmt w:val="bullet"/>
      <w:lvlText w:val=""/>
      <w:lvlJc w:val="left"/>
      <w:pPr>
        <w:tabs>
          <w:tab w:val="num" w:pos="1135"/>
        </w:tabs>
        <w:ind w:left="1135"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A1215E5"/>
    <w:multiLevelType w:val="multilevel"/>
    <w:tmpl w:val="63B81384"/>
    <w:lvl w:ilvl="0">
      <w:start w:val="1"/>
      <w:numFmt w:val="bullet"/>
      <w:lvlText w:val=""/>
      <w:lvlJc w:val="left"/>
      <w:pPr>
        <w:tabs>
          <w:tab w:val="num" w:pos="783"/>
        </w:tabs>
        <w:ind w:left="786" w:hanging="360"/>
      </w:pPr>
      <w:rPr>
        <w:rFonts w:ascii="Symbol" w:hAnsi="Symbol" w:hint="default"/>
        <w:sz w:val="22"/>
        <w:szCs w:val="30"/>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1146"/>
        </w:tabs>
        <w:ind w:left="1146" w:hanging="720"/>
      </w:pPr>
      <w:rPr>
        <w:rFonts w:hint="default"/>
        <w:b w:val="0"/>
        <w:sz w:val="22"/>
        <w:szCs w:val="22"/>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20" w15:restartNumberingAfterBreak="0">
    <w:nsid w:val="3FF43484"/>
    <w:multiLevelType w:val="multilevel"/>
    <w:tmpl w:val="B4164328"/>
    <w:lvl w:ilvl="0">
      <w:start w:val="1"/>
      <w:numFmt w:val="decimal"/>
      <w:pStyle w:val="Heading1"/>
      <w:isLgl/>
      <w:lvlText w:val="%1"/>
      <w:lvlJc w:val="left"/>
      <w:pPr>
        <w:tabs>
          <w:tab w:val="num" w:pos="783"/>
        </w:tabs>
        <w:ind w:left="786" w:hanging="360"/>
      </w:pPr>
      <w:rPr>
        <w:rFonts w:hint="default"/>
        <w:sz w:val="30"/>
        <w:szCs w:val="30"/>
      </w:rPr>
    </w:lvl>
    <w:lvl w:ilvl="1">
      <w:start w:val="1"/>
      <w:numFmt w:val="decimal"/>
      <w:pStyle w:val="Heading2"/>
      <w:lvlText w:val="%1.%2"/>
      <w:lvlJc w:val="left"/>
      <w:pPr>
        <w:tabs>
          <w:tab w:val="num" w:pos="360"/>
        </w:tabs>
        <w:ind w:left="360" w:hanging="360"/>
      </w:pPr>
      <w:rPr>
        <w:rFonts w:hint="default"/>
        <w:b/>
        <w:sz w:val="24"/>
        <w:szCs w:val="24"/>
      </w:rPr>
    </w:lvl>
    <w:lvl w:ilvl="2">
      <w:start w:val="1"/>
      <w:numFmt w:val="decimal"/>
      <w:pStyle w:val="Heading3"/>
      <w:lvlText w:val="%1.%2.%3"/>
      <w:lvlJc w:val="left"/>
      <w:pPr>
        <w:tabs>
          <w:tab w:val="num" w:pos="1288"/>
        </w:tabs>
        <w:ind w:left="1288" w:hanging="720"/>
      </w:pPr>
      <w:rPr>
        <w:b/>
        <w:sz w:val="22"/>
        <w:szCs w:val="22"/>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21" w15:restartNumberingAfterBreak="0">
    <w:nsid w:val="42893F11"/>
    <w:multiLevelType w:val="hybridMultilevel"/>
    <w:tmpl w:val="3B7A3A2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2" w15:restartNumberingAfterBreak="0">
    <w:nsid w:val="42A270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CD2FFC"/>
    <w:multiLevelType w:val="hybridMultilevel"/>
    <w:tmpl w:val="070E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A0CD9"/>
    <w:multiLevelType w:val="hybridMultilevel"/>
    <w:tmpl w:val="026C57B6"/>
    <w:lvl w:ilvl="0" w:tplc="F6C2F5CC">
      <w:start w:val="1"/>
      <w:numFmt w:val="bullet"/>
      <w:lvlText w:val=""/>
      <w:lvlJc w:val="left"/>
      <w:pPr>
        <w:tabs>
          <w:tab w:val="num" w:pos="1135"/>
        </w:tabs>
        <w:ind w:left="1135"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C35413B"/>
    <w:multiLevelType w:val="multilevel"/>
    <w:tmpl w:val="7C44C458"/>
    <w:lvl w:ilvl="0">
      <w:start w:val="1"/>
      <w:numFmt w:val="decimal"/>
      <w:isLgl/>
      <w:lvlText w:val="%1"/>
      <w:lvlJc w:val="left"/>
      <w:pPr>
        <w:tabs>
          <w:tab w:val="num" w:pos="783"/>
        </w:tabs>
        <w:ind w:left="786" w:hanging="360"/>
      </w:pPr>
      <w:rPr>
        <w:rFonts w:hint="default"/>
        <w:sz w:val="30"/>
        <w:szCs w:val="30"/>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1146"/>
        </w:tabs>
        <w:ind w:left="1146" w:hanging="720"/>
      </w:pPr>
      <w:rPr>
        <w:b w:val="0"/>
        <w:sz w:val="22"/>
        <w:szCs w:val="22"/>
      </w:rPr>
    </w:lvl>
    <w:lvl w:ilvl="3">
      <w:start w:val="1"/>
      <w:numFmt w:val="bullet"/>
      <w:lvlText w:val=""/>
      <w:lvlJc w:val="left"/>
      <w:pPr>
        <w:tabs>
          <w:tab w:val="num" w:pos="720"/>
        </w:tabs>
        <w:ind w:left="720" w:hanging="720"/>
      </w:pPr>
      <w:rPr>
        <w:rFonts w:ascii="Symbol" w:hAnsi="Symbol" w:hint="default"/>
      </w:rPr>
    </w:lvl>
    <w:lvl w:ilvl="4">
      <w:start w:val="1"/>
      <w:numFmt w:val="bullet"/>
      <w:lvlText w:val=""/>
      <w:lvlJc w:val="left"/>
      <w:pPr>
        <w:tabs>
          <w:tab w:val="num" w:pos="1080"/>
        </w:tabs>
        <w:ind w:left="1080" w:hanging="1080"/>
      </w:pPr>
      <w:rPr>
        <w:rFonts w:ascii="Symbol" w:hAnsi="Symbol"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26" w15:restartNumberingAfterBreak="0">
    <w:nsid w:val="4F1D3F9A"/>
    <w:multiLevelType w:val="hybridMultilevel"/>
    <w:tmpl w:val="84DEA1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28" w15:restartNumberingAfterBreak="0">
    <w:nsid w:val="556F3BD9"/>
    <w:multiLevelType w:val="hybridMultilevel"/>
    <w:tmpl w:val="F3D289D2"/>
    <w:lvl w:ilvl="0" w:tplc="015A54B8">
      <w:start w:val="1"/>
      <w:numFmt w:val="lowerLetter"/>
      <w:lvlText w:val="%1)"/>
      <w:lvlJc w:val="left"/>
      <w:pPr>
        <w:ind w:left="1800" w:hanging="360"/>
      </w:pPr>
      <w:rPr>
        <w:rFonts w:hint="default"/>
        <w:b/>
      </w:rPr>
    </w:lvl>
    <w:lvl w:ilvl="1" w:tplc="08090003">
      <w:start w:val="1"/>
      <w:numFmt w:val="bullet"/>
      <w:lvlText w:val="o"/>
      <w:lvlJc w:val="left"/>
      <w:pPr>
        <w:ind w:left="2520" w:hanging="360"/>
      </w:pPr>
      <w:rPr>
        <w:rFonts w:ascii="Courier New" w:hAnsi="Courier New" w:cs="Courier New"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8D40360"/>
    <w:multiLevelType w:val="hybridMultilevel"/>
    <w:tmpl w:val="4946925A"/>
    <w:lvl w:ilvl="0" w:tplc="F6C2F5CC">
      <w:start w:val="1"/>
      <w:numFmt w:val="bullet"/>
      <w:lvlText w:val=""/>
      <w:lvlJc w:val="left"/>
      <w:pPr>
        <w:tabs>
          <w:tab w:val="num" w:pos="1135"/>
        </w:tabs>
        <w:ind w:left="1135"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5C557323"/>
    <w:multiLevelType w:val="hybridMultilevel"/>
    <w:tmpl w:val="A61AA1F0"/>
    <w:lvl w:ilvl="0" w:tplc="B0FA08FA">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E3055"/>
    <w:multiLevelType w:val="multilevel"/>
    <w:tmpl w:val="935003DE"/>
    <w:lvl w:ilvl="0">
      <w:start w:val="1"/>
      <w:numFmt w:val="bullet"/>
      <w:lvlText w:val=""/>
      <w:lvlJc w:val="left"/>
      <w:pPr>
        <w:tabs>
          <w:tab w:val="num" w:pos="783"/>
        </w:tabs>
        <w:ind w:left="786" w:hanging="360"/>
      </w:pPr>
      <w:rPr>
        <w:rFonts w:ascii="Symbol" w:hAnsi="Symbol" w:hint="default"/>
        <w:sz w:val="22"/>
        <w:szCs w:val="22"/>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1146"/>
        </w:tabs>
        <w:ind w:left="1146" w:hanging="720"/>
      </w:pPr>
      <w:rPr>
        <w:rFonts w:hint="default"/>
        <w:b w:val="0"/>
        <w:sz w:val="22"/>
        <w:szCs w:val="22"/>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32" w15:restartNumberingAfterBreak="0">
    <w:nsid w:val="64320F49"/>
    <w:multiLevelType w:val="hybridMultilevel"/>
    <w:tmpl w:val="149850F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3" w15:restartNumberingAfterBreak="0">
    <w:nsid w:val="656F0DAF"/>
    <w:multiLevelType w:val="hybridMultilevel"/>
    <w:tmpl w:val="E2521AF0"/>
    <w:lvl w:ilvl="0" w:tplc="CC90521E">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9158F"/>
    <w:multiLevelType w:val="hybridMultilevel"/>
    <w:tmpl w:val="F09C3742"/>
    <w:lvl w:ilvl="0" w:tplc="8456731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A058F"/>
    <w:multiLevelType w:val="multilevel"/>
    <w:tmpl w:val="08BEB8B4"/>
    <w:lvl w:ilvl="0">
      <w:start w:val="22"/>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4E54423"/>
    <w:multiLevelType w:val="hybridMultilevel"/>
    <w:tmpl w:val="A3046BB2"/>
    <w:lvl w:ilvl="0" w:tplc="08090003">
      <w:start w:val="1"/>
      <w:numFmt w:val="bullet"/>
      <w:lvlText w:val="o"/>
      <w:lvlJc w:val="left"/>
      <w:pPr>
        <w:ind w:left="6238" w:hanging="360"/>
      </w:pPr>
      <w:rPr>
        <w:rFonts w:ascii="Courier New" w:hAnsi="Courier New" w:cs="Courier New" w:hint="default"/>
      </w:rPr>
    </w:lvl>
    <w:lvl w:ilvl="1" w:tplc="08090003" w:tentative="1">
      <w:start w:val="1"/>
      <w:numFmt w:val="bullet"/>
      <w:lvlText w:val="o"/>
      <w:lvlJc w:val="left"/>
      <w:pPr>
        <w:ind w:left="6958" w:hanging="360"/>
      </w:pPr>
      <w:rPr>
        <w:rFonts w:ascii="Courier New" w:hAnsi="Courier New" w:cs="Courier New" w:hint="default"/>
      </w:rPr>
    </w:lvl>
    <w:lvl w:ilvl="2" w:tplc="08090005" w:tentative="1">
      <w:start w:val="1"/>
      <w:numFmt w:val="bullet"/>
      <w:lvlText w:val=""/>
      <w:lvlJc w:val="left"/>
      <w:pPr>
        <w:ind w:left="7678" w:hanging="360"/>
      </w:pPr>
      <w:rPr>
        <w:rFonts w:ascii="Wingdings" w:hAnsi="Wingdings" w:hint="default"/>
      </w:rPr>
    </w:lvl>
    <w:lvl w:ilvl="3" w:tplc="08090001" w:tentative="1">
      <w:start w:val="1"/>
      <w:numFmt w:val="bullet"/>
      <w:lvlText w:val=""/>
      <w:lvlJc w:val="left"/>
      <w:pPr>
        <w:ind w:left="8398" w:hanging="360"/>
      </w:pPr>
      <w:rPr>
        <w:rFonts w:ascii="Symbol" w:hAnsi="Symbol" w:hint="default"/>
      </w:rPr>
    </w:lvl>
    <w:lvl w:ilvl="4" w:tplc="08090003" w:tentative="1">
      <w:start w:val="1"/>
      <w:numFmt w:val="bullet"/>
      <w:lvlText w:val="o"/>
      <w:lvlJc w:val="left"/>
      <w:pPr>
        <w:ind w:left="9118" w:hanging="360"/>
      </w:pPr>
      <w:rPr>
        <w:rFonts w:ascii="Courier New" w:hAnsi="Courier New" w:cs="Courier New" w:hint="default"/>
      </w:rPr>
    </w:lvl>
    <w:lvl w:ilvl="5" w:tplc="08090005" w:tentative="1">
      <w:start w:val="1"/>
      <w:numFmt w:val="bullet"/>
      <w:lvlText w:val=""/>
      <w:lvlJc w:val="left"/>
      <w:pPr>
        <w:ind w:left="9838" w:hanging="360"/>
      </w:pPr>
      <w:rPr>
        <w:rFonts w:ascii="Wingdings" w:hAnsi="Wingdings" w:hint="default"/>
      </w:rPr>
    </w:lvl>
    <w:lvl w:ilvl="6" w:tplc="08090001" w:tentative="1">
      <w:start w:val="1"/>
      <w:numFmt w:val="bullet"/>
      <w:lvlText w:val=""/>
      <w:lvlJc w:val="left"/>
      <w:pPr>
        <w:ind w:left="10558" w:hanging="360"/>
      </w:pPr>
      <w:rPr>
        <w:rFonts w:ascii="Symbol" w:hAnsi="Symbol" w:hint="default"/>
      </w:rPr>
    </w:lvl>
    <w:lvl w:ilvl="7" w:tplc="08090003" w:tentative="1">
      <w:start w:val="1"/>
      <w:numFmt w:val="bullet"/>
      <w:lvlText w:val="o"/>
      <w:lvlJc w:val="left"/>
      <w:pPr>
        <w:ind w:left="11278" w:hanging="360"/>
      </w:pPr>
      <w:rPr>
        <w:rFonts w:ascii="Courier New" w:hAnsi="Courier New" w:cs="Courier New" w:hint="default"/>
      </w:rPr>
    </w:lvl>
    <w:lvl w:ilvl="8" w:tplc="08090005" w:tentative="1">
      <w:start w:val="1"/>
      <w:numFmt w:val="bullet"/>
      <w:lvlText w:val=""/>
      <w:lvlJc w:val="left"/>
      <w:pPr>
        <w:ind w:left="11998" w:hanging="360"/>
      </w:pPr>
      <w:rPr>
        <w:rFonts w:ascii="Wingdings" w:hAnsi="Wingdings" w:hint="default"/>
      </w:rPr>
    </w:lvl>
  </w:abstractNum>
  <w:abstractNum w:abstractNumId="37" w15:restartNumberingAfterBreak="0">
    <w:nsid w:val="751508F0"/>
    <w:multiLevelType w:val="singleLevel"/>
    <w:tmpl w:val="E1F03B94"/>
    <w:lvl w:ilvl="0">
      <w:start w:val="1"/>
      <w:numFmt w:val="bullet"/>
      <w:pStyle w:val="NormalBullet"/>
      <w:lvlText w:val=""/>
      <w:lvlJc w:val="left"/>
      <w:pPr>
        <w:ind w:left="567" w:hanging="567"/>
      </w:pPr>
      <w:rPr>
        <w:rFonts w:ascii="EYlogo" w:hAnsi="EYlogo" w:hint="default"/>
        <w:sz w:val="15"/>
      </w:rPr>
    </w:lvl>
  </w:abstractNum>
  <w:abstractNum w:abstractNumId="38" w15:restartNumberingAfterBreak="0">
    <w:nsid w:val="784E1405"/>
    <w:multiLevelType w:val="multilevel"/>
    <w:tmpl w:val="685048EC"/>
    <w:lvl w:ilvl="0">
      <w:start w:val="1"/>
      <w:numFmt w:val="bullet"/>
      <w:lvlText w:val=""/>
      <w:lvlJc w:val="left"/>
      <w:pPr>
        <w:tabs>
          <w:tab w:val="num" w:pos="1440"/>
        </w:tabs>
        <w:ind w:left="1440" w:hanging="360"/>
      </w:pPr>
      <w:rPr>
        <w:rFonts w:ascii="Symbol" w:hAnsi="Symbol" w:hint="default"/>
        <w:color w:val="auto"/>
        <w:sz w:val="22"/>
        <w:szCs w:val="22"/>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86"/>
        </w:tabs>
        <w:ind w:left="786" w:hanging="360"/>
      </w:pPr>
      <w:rPr>
        <w:rFonts w:ascii="Symbol" w:hAnsi="Symbol" w:hint="default"/>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FD4E5A"/>
    <w:multiLevelType w:val="multilevel"/>
    <w:tmpl w:val="10AAA104"/>
    <w:lvl w:ilvl="0">
      <w:start w:val="22"/>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9DC33C7"/>
    <w:multiLevelType w:val="multilevel"/>
    <w:tmpl w:val="B92C495E"/>
    <w:lvl w:ilvl="0">
      <w:start w:val="1"/>
      <w:numFmt w:val="bullet"/>
      <w:lvlText w:val=""/>
      <w:lvlJc w:val="left"/>
      <w:pPr>
        <w:tabs>
          <w:tab w:val="num" w:pos="1638"/>
        </w:tabs>
        <w:ind w:left="1638" w:hanging="360"/>
      </w:pPr>
      <w:rPr>
        <w:rFonts w:ascii="Symbol" w:hAnsi="Symbol" w:hint="default"/>
        <w:sz w:val="22"/>
        <w:szCs w:val="22"/>
      </w:rPr>
    </w:lvl>
    <w:lvl w:ilvl="1">
      <w:start w:val="1"/>
      <w:numFmt w:val="bullet"/>
      <w:lvlText w:val="o"/>
      <w:lvlJc w:val="left"/>
      <w:pPr>
        <w:tabs>
          <w:tab w:val="num" w:pos="2358"/>
        </w:tabs>
        <w:ind w:left="2358" w:hanging="360"/>
      </w:pPr>
      <w:rPr>
        <w:rFonts w:ascii="Courier New" w:hAnsi="Courier New" w:cs="Times New Roman" w:hint="default"/>
        <w:sz w:val="20"/>
      </w:rPr>
    </w:lvl>
    <w:lvl w:ilvl="2">
      <w:start w:val="1"/>
      <w:numFmt w:val="bullet"/>
      <w:lvlText w:val=""/>
      <w:lvlJc w:val="left"/>
      <w:pPr>
        <w:tabs>
          <w:tab w:val="num" w:pos="3078"/>
        </w:tabs>
        <w:ind w:left="3078" w:hanging="360"/>
      </w:pPr>
      <w:rPr>
        <w:rFonts w:ascii="Wingdings" w:hAnsi="Wingdings" w:hint="default"/>
        <w:sz w:val="20"/>
      </w:rPr>
    </w:lvl>
    <w:lvl w:ilvl="3">
      <w:start w:val="1"/>
      <w:numFmt w:val="bullet"/>
      <w:lvlText w:val=""/>
      <w:lvlJc w:val="left"/>
      <w:pPr>
        <w:tabs>
          <w:tab w:val="num" w:pos="3798"/>
        </w:tabs>
        <w:ind w:left="3798" w:hanging="360"/>
      </w:pPr>
      <w:rPr>
        <w:rFonts w:ascii="Wingdings" w:hAnsi="Wingdings" w:hint="default"/>
        <w:sz w:val="20"/>
      </w:rPr>
    </w:lvl>
    <w:lvl w:ilvl="4">
      <w:start w:val="1"/>
      <w:numFmt w:val="bullet"/>
      <w:lvlText w:val=""/>
      <w:lvlJc w:val="left"/>
      <w:pPr>
        <w:tabs>
          <w:tab w:val="num" w:pos="4518"/>
        </w:tabs>
        <w:ind w:left="4518" w:hanging="360"/>
      </w:pPr>
      <w:rPr>
        <w:rFonts w:ascii="Wingdings" w:hAnsi="Wingdings" w:hint="default"/>
        <w:sz w:val="20"/>
      </w:rPr>
    </w:lvl>
    <w:lvl w:ilvl="5">
      <w:start w:val="1"/>
      <w:numFmt w:val="bullet"/>
      <w:lvlText w:val=""/>
      <w:lvlJc w:val="left"/>
      <w:pPr>
        <w:tabs>
          <w:tab w:val="num" w:pos="5238"/>
        </w:tabs>
        <w:ind w:left="5238" w:hanging="360"/>
      </w:pPr>
      <w:rPr>
        <w:rFonts w:ascii="Wingdings" w:hAnsi="Wingdings" w:hint="default"/>
        <w:sz w:val="20"/>
      </w:rPr>
    </w:lvl>
    <w:lvl w:ilvl="6">
      <w:start w:val="1"/>
      <w:numFmt w:val="bullet"/>
      <w:lvlText w:val=""/>
      <w:lvlJc w:val="left"/>
      <w:pPr>
        <w:tabs>
          <w:tab w:val="num" w:pos="5958"/>
        </w:tabs>
        <w:ind w:left="5958" w:hanging="360"/>
      </w:pPr>
      <w:rPr>
        <w:rFonts w:ascii="Wingdings" w:hAnsi="Wingdings" w:hint="default"/>
        <w:sz w:val="20"/>
      </w:rPr>
    </w:lvl>
    <w:lvl w:ilvl="7">
      <w:start w:val="1"/>
      <w:numFmt w:val="bullet"/>
      <w:lvlText w:val=""/>
      <w:lvlJc w:val="left"/>
      <w:pPr>
        <w:tabs>
          <w:tab w:val="num" w:pos="6678"/>
        </w:tabs>
        <w:ind w:left="6678" w:hanging="360"/>
      </w:pPr>
      <w:rPr>
        <w:rFonts w:ascii="Wingdings" w:hAnsi="Wingdings" w:hint="default"/>
        <w:sz w:val="20"/>
      </w:rPr>
    </w:lvl>
    <w:lvl w:ilvl="8">
      <w:start w:val="1"/>
      <w:numFmt w:val="bullet"/>
      <w:lvlText w:val=""/>
      <w:lvlJc w:val="left"/>
      <w:pPr>
        <w:tabs>
          <w:tab w:val="num" w:pos="7398"/>
        </w:tabs>
        <w:ind w:left="7398" w:hanging="360"/>
      </w:pPr>
      <w:rPr>
        <w:rFonts w:ascii="Wingdings" w:hAnsi="Wingdings" w:hint="default"/>
        <w:sz w:val="20"/>
      </w:rPr>
    </w:lvl>
  </w:abstractNum>
  <w:abstractNum w:abstractNumId="41" w15:restartNumberingAfterBreak="0">
    <w:nsid w:val="7C7F5D51"/>
    <w:multiLevelType w:val="hybridMultilevel"/>
    <w:tmpl w:val="461E4E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abstractNum w:abstractNumId="43" w15:restartNumberingAfterBreak="0">
    <w:nsid w:val="7CBA2DFA"/>
    <w:multiLevelType w:val="multilevel"/>
    <w:tmpl w:val="08BEB8B4"/>
    <w:lvl w:ilvl="0">
      <w:start w:val="22"/>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bullet"/>
      <w:lvlText w:val=""/>
      <w:lvlJc w:val="left"/>
      <w:pPr>
        <w:tabs>
          <w:tab w:val="num" w:pos="1152"/>
        </w:tabs>
        <w:ind w:left="1152" w:hanging="1152"/>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2"/>
  </w:num>
  <w:num w:numId="2">
    <w:abstractNumId w:val="37"/>
  </w:num>
  <w:num w:numId="3">
    <w:abstractNumId w:val="0"/>
  </w:num>
  <w:num w:numId="4">
    <w:abstractNumId w:val="6"/>
  </w:num>
  <w:num w:numId="5">
    <w:abstractNumId w:val="27"/>
  </w:num>
  <w:num w:numId="6">
    <w:abstractNumId w:val="20"/>
  </w:num>
  <w:num w:numId="7">
    <w:abstractNumId w:val="2"/>
  </w:num>
  <w:num w:numId="8">
    <w:abstractNumId w:val="24"/>
  </w:num>
  <w:num w:numId="9">
    <w:abstractNumId w:val="18"/>
  </w:num>
  <w:num w:numId="10">
    <w:abstractNumId w:val="29"/>
  </w:num>
  <w:num w:numId="11">
    <w:abstractNumId w:val="10"/>
  </w:num>
  <w:num w:numId="12">
    <w:abstractNumId w:val="41"/>
  </w:num>
  <w:num w:numId="13">
    <w:abstractNumId w:val="3"/>
  </w:num>
  <w:num w:numId="14">
    <w:abstractNumId w:val="26"/>
  </w:num>
  <w:num w:numId="15">
    <w:abstractNumId w:val="7"/>
  </w:num>
  <w:num w:numId="1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18">
    <w:abstractNumId w:val="8"/>
  </w:num>
  <w:num w:numId="19">
    <w:abstractNumId w:val="22"/>
  </w:num>
  <w:num w:numId="20">
    <w:abstractNumId w:val="39"/>
  </w:num>
  <w:num w:numId="21">
    <w:abstractNumId w:val="43"/>
  </w:num>
  <w:num w:numId="22">
    <w:abstractNumId w:val="35"/>
  </w:num>
  <w:num w:numId="23">
    <w:abstractNumId w:val="16"/>
  </w:num>
  <w:num w:numId="24">
    <w:abstractNumId w:val="31"/>
  </w:num>
  <w:num w:numId="25">
    <w:abstractNumId w:val="21"/>
  </w:num>
  <w:num w:numId="26">
    <w:abstractNumId w:val="25"/>
  </w:num>
  <w:num w:numId="27">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2"/>
  </w:num>
  <w:num w:numId="30">
    <w:abstractNumId w:val="5"/>
  </w:num>
  <w:num w:numId="31">
    <w:abstractNumId w:val="1"/>
  </w:num>
  <w:num w:numId="32">
    <w:abstractNumId w:val="13"/>
  </w:num>
  <w:num w:numId="33">
    <w:abstractNumId w:val="20"/>
  </w:num>
  <w:num w:numId="34">
    <w:abstractNumId w:val="20"/>
  </w:num>
  <w:num w:numId="35">
    <w:abstractNumId w:val="20"/>
  </w:num>
  <w:num w:numId="36">
    <w:abstractNumId w:val="28"/>
  </w:num>
  <w:num w:numId="37">
    <w:abstractNumId w:val="20"/>
  </w:num>
  <w:num w:numId="38">
    <w:abstractNumId w:val="41"/>
  </w:num>
  <w:num w:numId="39">
    <w:abstractNumId w:val="20"/>
  </w:num>
  <w:num w:numId="40">
    <w:abstractNumId w:val="20"/>
  </w:num>
  <w:num w:numId="41">
    <w:abstractNumId w:val="4"/>
  </w:num>
  <w:num w:numId="42">
    <w:abstractNumId w:val="9"/>
  </w:num>
  <w:num w:numId="43">
    <w:abstractNumId w:val="36"/>
  </w:num>
  <w:num w:numId="44">
    <w:abstractNumId w:val="40"/>
  </w:num>
  <w:num w:numId="45">
    <w:abstractNumId w:val="32"/>
  </w:num>
  <w:num w:numId="46">
    <w:abstractNumId w:val="30"/>
  </w:num>
  <w:num w:numId="47">
    <w:abstractNumId w:val="34"/>
  </w:num>
  <w:num w:numId="48">
    <w:abstractNumId w:val="33"/>
  </w:num>
  <w:num w:numId="49">
    <w:abstractNumId w:val="19"/>
  </w:num>
  <w:num w:numId="50">
    <w:abstractNumId w:val="11"/>
  </w:num>
  <w:num w:numId="51">
    <w:abstractNumId w:val="23"/>
  </w:num>
  <w:num w:numId="52">
    <w:abstractNumId w:val="14"/>
  </w:num>
  <w:num w:numId="53">
    <w:abstractNumId w:val="17"/>
  </w:num>
  <w:num w:numId="5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82"/>
    <w:rsid w:val="00000B4E"/>
    <w:rsid w:val="0000151F"/>
    <w:rsid w:val="00001E88"/>
    <w:rsid w:val="00002791"/>
    <w:rsid w:val="00002E65"/>
    <w:rsid w:val="00003F86"/>
    <w:rsid w:val="00004437"/>
    <w:rsid w:val="0000637A"/>
    <w:rsid w:val="00007A88"/>
    <w:rsid w:val="0001154B"/>
    <w:rsid w:val="000122B0"/>
    <w:rsid w:val="000124AE"/>
    <w:rsid w:val="00013A19"/>
    <w:rsid w:val="00013DEB"/>
    <w:rsid w:val="00013EA6"/>
    <w:rsid w:val="000143C1"/>
    <w:rsid w:val="00014C8F"/>
    <w:rsid w:val="00016042"/>
    <w:rsid w:val="00016124"/>
    <w:rsid w:val="00017159"/>
    <w:rsid w:val="00022E35"/>
    <w:rsid w:val="00023282"/>
    <w:rsid w:val="0002392B"/>
    <w:rsid w:val="00023BED"/>
    <w:rsid w:val="00025C33"/>
    <w:rsid w:val="00025F54"/>
    <w:rsid w:val="00026D6E"/>
    <w:rsid w:val="000300CC"/>
    <w:rsid w:val="00030856"/>
    <w:rsid w:val="00030E4B"/>
    <w:rsid w:val="0003148D"/>
    <w:rsid w:val="00031D96"/>
    <w:rsid w:val="00031F41"/>
    <w:rsid w:val="00032066"/>
    <w:rsid w:val="000325D0"/>
    <w:rsid w:val="00032EFF"/>
    <w:rsid w:val="00033873"/>
    <w:rsid w:val="00033AE7"/>
    <w:rsid w:val="00033FA1"/>
    <w:rsid w:val="0003427B"/>
    <w:rsid w:val="0003654B"/>
    <w:rsid w:val="00037B1F"/>
    <w:rsid w:val="00040248"/>
    <w:rsid w:val="00041509"/>
    <w:rsid w:val="00041998"/>
    <w:rsid w:val="00041D4B"/>
    <w:rsid w:val="00042572"/>
    <w:rsid w:val="00043F9A"/>
    <w:rsid w:val="000448ED"/>
    <w:rsid w:val="0004524F"/>
    <w:rsid w:val="000456E3"/>
    <w:rsid w:val="00045AC3"/>
    <w:rsid w:val="00047A6B"/>
    <w:rsid w:val="00050E17"/>
    <w:rsid w:val="000513DA"/>
    <w:rsid w:val="00051BE0"/>
    <w:rsid w:val="000520F4"/>
    <w:rsid w:val="00052539"/>
    <w:rsid w:val="00052E03"/>
    <w:rsid w:val="00054F80"/>
    <w:rsid w:val="0005523E"/>
    <w:rsid w:val="000558C9"/>
    <w:rsid w:val="00055A43"/>
    <w:rsid w:val="0005721F"/>
    <w:rsid w:val="00060FA8"/>
    <w:rsid w:val="00061345"/>
    <w:rsid w:val="00061E04"/>
    <w:rsid w:val="00062B53"/>
    <w:rsid w:val="0006321C"/>
    <w:rsid w:val="000638BE"/>
    <w:rsid w:val="00064165"/>
    <w:rsid w:val="00064E4D"/>
    <w:rsid w:val="0006515F"/>
    <w:rsid w:val="000652C1"/>
    <w:rsid w:val="00070123"/>
    <w:rsid w:val="00070DA8"/>
    <w:rsid w:val="00072F40"/>
    <w:rsid w:val="0007353D"/>
    <w:rsid w:val="0008024A"/>
    <w:rsid w:val="000802AE"/>
    <w:rsid w:val="00080867"/>
    <w:rsid w:val="00080ADF"/>
    <w:rsid w:val="00082411"/>
    <w:rsid w:val="00083F8A"/>
    <w:rsid w:val="00085DFF"/>
    <w:rsid w:val="00085F40"/>
    <w:rsid w:val="00087B79"/>
    <w:rsid w:val="00090CCB"/>
    <w:rsid w:val="00091750"/>
    <w:rsid w:val="00091CF6"/>
    <w:rsid w:val="00093998"/>
    <w:rsid w:val="00094D1A"/>
    <w:rsid w:val="000953FE"/>
    <w:rsid w:val="0009562E"/>
    <w:rsid w:val="0009604D"/>
    <w:rsid w:val="00097A3E"/>
    <w:rsid w:val="000A02B7"/>
    <w:rsid w:val="000A0583"/>
    <w:rsid w:val="000A21A5"/>
    <w:rsid w:val="000A21F4"/>
    <w:rsid w:val="000A2554"/>
    <w:rsid w:val="000A2F38"/>
    <w:rsid w:val="000A4474"/>
    <w:rsid w:val="000A608B"/>
    <w:rsid w:val="000A6103"/>
    <w:rsid w:val="000A7C4A"/>
    <w:rsid w:val="000A7F1A"/>
    <w:rsid w:val="000B0E5D"/>
    <w:rsid w:val="000B26A4"/>
    <w:rsid w:val="000B26EF"/>
    <w:rsid w:val="000B2AC7"/>
    <w:rsid w:val="000B2FD1"/>
    <w:rsid w:val="000B3689"/>
    <w:rsid w:val="000B681C"/>
    <w:rsid w:val="000B6CB9"/>
    <w:rsid w:val="000B738C"/>
    <w:rsid w:val="000C14FF"/>
    <w:rsid w:val="000C15E2"/>
    <w:rsid w:val="000C2C36"/>
    <w:rsid w:val="000C2C56"/>
    <w:rsid w:val="000C4D19"/>
    <w:rsid w:val="000C539F"/>
    <w:rsid w:val="000C5685"/>
    <w:rsid w:val="000C715C"/>
    <w:rsid w:val="000C7AAC"/>
    <w:rsid w:val="000C7DD8"/>
    <w:rsid w:val="000D0A64"/>
    <w:rsid w:val="000D0E22"/>
    <w:rsid w:val="000D1EF5"/>
    <w:rsid w:val="000D24CF"/>
    <w:rsid w:val="000D25FF"/>
    <w:rsid w:val="000D268E"/>
    <w:rsid w:val="000D436A"/>
    <w:rsid w:val="000D495D"/>
    <w:rsid w:val="000D5046"/>
    <w:rsid w:val="000D5870"/>
    <w:rsid w:val="000D6843"/>
    <w:rsid w:val="000D6B1A"/>
    <w:rsid w:val="000D6CC3"/>
    <w:rsid w:val="000D6F70"/>
    <w:rsid w:val="000D73A9"/>
    <w:rsid w:val="000D7434"/>
    <w:rsid w:val="000E06FF"/>
    <w:rsid w:val="000E12E8"/>
    <w:rsid w:val="000E163F"/>
    <w:rsid w:val="000E176A"/>
    <w:rsid w:val="000E2F74"/>
    <w:rsid w:val="000E4068"/>
    <w:rsid w:val="000E4794"/>
    <w:rsid w:val="000E57CE"/>
    <w:rsid w:val="000E5E4C"/>
    <w:rsid w:val="000E64BC"/>
    <w:rsid w:val="000E65A8"/>
    <w:rsid w:val="000E70FE"/>
    <w:rsid w:val="000F007A"/>
    <w:rsid w:val="000F161B"/>
    <w:rsid w:val="000F24AD"/>
    <w:rsid w:val="000F2DFD"/>
    <w:rsid w:val="000F3E65"/>
    <w:rsid w:val="000F41C0"/>
    <w:rsid w:val="000F4267"/>
    <w:rsid w:val="000F5DFC"/>
    <w:rsid w:val="000F6646"/>
    <w:rsid w:val="000F6A2E"/>
    <w:rsid w:val="000F729A"/>
    <w:rsid w:val="000F7606"/>
    <w:rsid w:val="000F786F"/>
    <w:rsid w:val="000F7946"/>
    <w:rsid w:val="00100322"/>
    <w:rsid w:val="00100448"/>
    <w:rsid w:val="00100E3B"/>
    <w:rsid w:val="00103755"/>
    <w:rsid w:val="00103FE0"/>
    <w:rsid w:val="001048A2"/>
    <w:rsid w:val="00105250"/>
    <w:rsid w:val="0010525C"/>
    <w:rsid w:val="00105F1D"/>
    <w:rsid w:val="001060B2"/>
    <w:rsid w:val="00106F10"/>
    <w:rsid w:val="00107C1D"/>
    <w:rsid w:val="0011071B"/>
    <w:rsid w:val="00110E8B"/>
    <w:rsid w:val="00111F9B"/>
    <w:rsid w:val="0011274E"/>
    <w:rsid w:val="0011312C"/>
    <w:rsid w:val="00114279"/>
    <w:rsid w:val="001150EC"/>
    <w:rsid w:val="0011742A"/>
    <w:rsid w:val="001177DC"/>
    <w:rsid w:val="00120197"/>
    <w:rsid w:val="00121763"/>
    <w:rsid w:val="00121E19"/>
    <w:rsid w:val="00122EAD"/>
    <w:rsid w:val="0012315B"/>
    <w:rsid w:val="001235A3"/>
    <w:rsid w:val="00123E34"/>
    <w:rsid w:val="00124104"/>
    <w:rsid w:val="001245A0"/>
    <w:rsid w:val="00124C8B"/>
    <w:rsid w:val="001256F2"/>
    <w:rsid w:val="00125EB0"/>
    <w:rsid w:val="00126C04"/>
    <w:rsid w:val="00126D37"/>
    <w:rsid w:val="00127223"/>
    <w:rsid w:val="001305F6"/>
    <w:rsid w:val="0013078A"/>
    <w:rsid w:val="00131CA5"/>
    <w:rsid w:val="00131FD9"/>
    <w:rsid w:val="00132BD4"/>
    <w:rsid w:val="00133AE0"/>
    <w:rsid w:val="00134295"/>
    <w:rsid w:val="00134CD1"/>
    <w:rsid w:val="00135EBE"/>
    <w:rsid w:val="0013736B"/>
    <w:rsid w:val="00140AFD"/>
    <w:rsid w:val="00141C0F"/>
    <w:rsid w:val="00142F3E"/>
    <w:rsid w:val="00143254"/>
    <w:rsid w:val="0014568D"/>
    <w:rsid w:val="00145A2F"/>
    <w:rsid w:val="00145BC7"/>
    <w:rsid w:val="00146067"/>
    <w:rsid w:val="00146A3F"/>
    <w:rsid w:val="001500AB"/>
    <w:rsid w:val="0015063B"/>
    <w:rsid w:val="00150C9F"/>
    <w:rsid w:val="001515B4"/>
    <w:rsid w:val="00151C45"/>
    <w:rsid w:val="00152E3D"/>
    <w:rsid w:val="001532A8"/>
    <w:rsid w:val="0015426F"/>
    <w:rsid w:val="00154EBE"/>
    <w:rsid w:val="00155C7A"/>
    <w:rsid w:val="00157019"/>
    <w:rsid w:val="00157BB1"/>
    <w:rsid w:val="00160024"/>
    <w:rsid w:val="00162547"/>
    <w:rsid w:val="00163127"/>
    <w:rsid w:val="00165842"/>
    <w:rsid w:val="00167106"/>
    <w:rsid w:val="001714FB"/>
    <w:rsid w:val="0017171B"/>
    <w:rsid w:val="0017239E"/>
    <w:rsid w:val="0017295F"/>
    <w:rsid w:val="00172D14"/>
    <w:rsid w:val="00172ED2"/>
    <w:rsid w:val="001739C5"/>
    <w:rsid w:val="00173BDE"/>
    <w:rsid w:val="00174ECD"/>
    <w:rsid w:val="001751AB"/>
    <w:rsid w:val="001755EA"/>
    <w:rsid w:val="001756D9"/>
    <w:rsid w:val="00175A8F"/>
    <w:rsid w:val="00177422"/>
    <w:rsid w:val="00177B6B"/>
    <w:rsid w:val="00181732"/>
    <w:rsid w:val="00181B30"/>
    <w:rsid w:val="00182275"/>
    <w:rsid w:val="001822F1"/>
    <w:rsid w:val="0018294C"/>
    <w:rsid w:val="00182D1E"/>
    <w:rsid w:val="001837CB"/>
    <w:rsid w:val="00183BFD"/>
    <w:rsid w:val="00184B3E"/>
    <w:rsid w:val="00184E1B"/>
    <w:rsid w:val="00184E5A"/>
    <w:rsid w:val="00185799"/>
    <w:rsid w:val="001859D5"/>
    <w:rsid w:val="00185DD9"/>
    <w:rsid w:val="00186028"/>
    <w:rsid w:val="001872A0"/>
    <w:rsid w:val="00190B08"/>
    <w:rsid w:val="00190CF3"/>
    <w:rsid w:val="00193024"/>
    <w:rsid w:val="00194F4A"/>
    <w:rsid w:val="00196298"/>
    <w:rsid w:val="00196B81"/>
    <w:rsid w:val="001A1029"/>
    <w:rsid w:val="001A29AE"/>
    <w:rsid w:val="001A3149"/>
    <w:rsid w:val="001A36F8"/>
    <w:rsid w:val="001A3A82"/>
    <w:rsid w:val="001A3F3D"/>
    <w:rsid w:val="001A4359"/>
    <w:rsid w:val="001A4950"/>
    <w:rsid w:val="001A4967"/>
    <w:rsid w:val="001A6E40"/>
    <w:rsid w:val="001A7EB7"/>
    <w:rsid w:val="001B0063"/>
    <w:rsid w:val="001B06A2"/>
    <w:rsid w:val="001B26FB"/>
    <w:rsid w:val="001B2984"/>
    <w:rsid w:val="001B3118"/>
    <w:rsid w:val="001B4F5B"/>
    <w:rsid w:val="001B65C3"/>
    <w:rsid w:val="001C0DF1"/>
    <w:rsid w:val="001C20CA"/>
    <w:rsid w:val="001C3065"/>
    <w:rsid w:val="001C327D"/>
    <w:rsid w:val="001C4409"/>
    <w:rsid w:val="001C4547"/>
    <w:rsid w:val="001C5D4B"/>
    <w:rsid w:val="001C5D51"/>
    <w:rsid w:val="001C5F47"/>
    <w:rsid w:val="001C6AE5"/>
    <w:rsid w:val="001C7D2C"/>
    <w:rsid w:val="001D035F"/>
    <w:rsid w:val="001D075F"/>
    <w:rsid w:val="001D1270"/>
    <w:rsid w:val="001D1810"/>
    <w:rsid w:val="001D1A45"/>
    <w:rsid w:val="001D1F9F"/>
    <w:rsid w:val="001D24A4"/>
    <w:rsid w:val="001D278F"/>
    <w:rsid w:val="001D2F56"/>
    <w:rsid w:val="001D36C7"/>
    <w:rsid w:val="001D4EBB"/>
    <w:rsid w:val="001D5F93"/>
    <w:rsid w:val="001D6C9B"/>
    <w:rsid w:val="001D75F8"/>
    <w:rsid w:val="001E1714"/>
    <w:rsid w:val="001E1987"/>
    <w:rsid w:val="001E1B65"/>
    <w:rsid w:val="001E2196"/>
    <w:rsid w:val="001E21ED"/>
    <w:rsid w:val="001E23D0"/>
    <w:rsid w:val="001E29F3"/>
    <w:rsid w:val="001E2B0A"/>
    <w:rsid w:val="001E2DE5"/>
    <w:rsid w:val="001E387E"/>
    <w:rsid w:val="001E4E25"/>
    <w:rsid w:val="001E4E74"/>
    <w:rsid w:val="001E55F4"/>
    <w:rsid w:val="001E6AC6"/>
    <w:rsid w:val="001E715A"/>
    <w:rsid w:val="001F0BB8"/>
    <w:rsid w:val="001F0ED2"/>
    <w:rsid w:val="001F131B"/>
    <w:rsid w:val="001F24DA"/>
    <w:rsid w:val="001F2D9A"/>
    <w:rsid w:val="001F42F3"/>
    <w:rsid w:val="001F5EEA"/>
    <w:rsid w:val="001F61DD"/>
    <w:rsid w:val="001F6394"/>
    <w:rsid w:val="001F66F5"/>
    <w:rsid w:val="001F6761"/>
    <w:rsid w:val="001F74D1"/>
    <w:rsid w:val="001F76CF"/>
    <w:rsid w:val="001F76DD"/>
    <w:rsid w:val="001F7B80"/>
    <w:rsid w:val="001F7D49"/>
    <w:rsid w:val="00200921"/>
    <w:rsid w:val="0020148F"/>
    <w:rsid w:val="00202F0D"/>
    <w:rsid w:val="0020362C"/>
    <w:rsid w:val="00203F8B"/>
    <w:rsid w:val="002040B5"/>
    <w:rsid w:val="00205A3B"/>
    <w:rsid w:val="00205ED6"/>
    <w:rsid w:val="0020798A"/>
    <w:rsid w:val="0021006E"/>
    <w:rsid w:val="002100FE"/>
    <w:rsid w:val="00210A7B"/>
    <w:rsid w:val="00210B82"/>
    <w:rsid w:val="00211A19"/>
    <w:rsid w:val="00211F92"/>
    <w:rsid w:val="0021327B"/>
    <w:rsid w:val="00213368"/>
    <w:rsid w:val="002155D5"/>
    <w:rsid w:val="00215DF2"/>
    <w:rsid w:val="002202A7"/>
    <w:rsid w:val="00221350"/>
    <w:rsid w:val="002227B3"/>
    <w:rsid w:val="00222FBB"/>
    <w:rsid w:val="00223A94"/>
    <w:rsid w:val="00223B7F"/>
    <w:rsid w:val="00223C8A"/>
    <w:rsid w:val="00224BB3"/>
    <w:rsid w:val="00226367"/>
    <w:rsid w:val="002279F5"/>
    <w:rsid w:val="00227CF5"/>
    <w:rsid w:val="00230872"/>
    <w:rsid w:val="00231910"/>
    <w:rsid w:val="00231F65"/>
    <w:rsid w:val="002321E5"/>
    <w:rsid w:val="00232F0A"/>
    <w:rsid w:val="00233C7B"/>
    <w:rsid w:val="00234404"/>
    <w:rsid w:val="00234B54"/>
    <w:rsid w:val="00234C41"/>
    <w:rsid w:val="00234EE8"/>
    <w:rsid w:val="00235165"/>
    <w:rsid w:val="00235BC7"/>
    <w:rsid w:val="002401CC"/>
    <w:rsid w:val="002407AE"/>
    <w:rsid w:val="00241A75"/>
    <w:rsid w:val="00242190"/>
    <w:rsid w:val="00242432"/>
    <w:rsid w:val="002428AA"/>
    <w:rsid w:val="002429D2"/>
    <w:rsid w:val="00242D52"/>
    <w:rsid w:val="002460A6"/>
    <w:rsid w:val="00246665"/>
    <w:rsid w:val="002473E3"/>
    <w:rsid w:val="00250C61"/>
    <w:rsid w:val="00251240"/>
    <w:rsid w:val="002527CC"/>
    <w:rsid w:val="002538B0"/>
    <w:rsid w:val="00253A6C"/>
    <w:rsid w:val="00253AEA"/>
    <w:rsid w:val="002542B6"/>
    <w:rsid w:val="002600AC"/>
    <w:rsid w:val="00261035"/>
    <w:rsid w:val="0026186A"/>
    <w:rsid w:val="00261F0E"/>
    <w:rsid w:val="00262D5A"/>
    <w:rsid w:val="00262EBD"/>
    <w:rsid w:val="00264178"/>
    <w:rsid w:val="002659D4"/>
    <w:rsid w:val="00265C2A"/>
    <w:rsid w:val="002660DD"/>
    <w:rsid w:val="0026655B"/>
    <w:rsid w:val="00267012"/>
    <w:rsid w:val="002673DE"/>
    <w:rsid w:val="00270843"/>
    <w:rsid w:val="002711B0"/>
    <w:rsid w:val="00271F82"/>
    <w:rsid w:val="00272187"/>
    <w:rsid w:val="00272BB9"/>
    <w:rsid w:val="00272D30"/>
    <w:rsid w:val="00274381"/>
    <w:rsid w:val="0027451D"/>
    <w:rsid w:val="002748E4"/>
    <w:rsid w:val="00275762"/>
    <w:rsid w:val="00275942"/>
    <w:rsid w:val="00275B43"/>
    <w:rsid w:val="00276FF7"/>
    <w:rsid w:val="0027770E"/>
    <w:rsid w:val="00277880"/>
    <w:rsid w:val="002779CA"/>
    <w:rsid w:val="00277BC5"/>
    <w:rsid w:val="00281D26"/>
    <w:rsid w:val="00282733"/>
    <w:rsid w:val="0028351B"/>
    <w:rsid w:val="00284285"/>
    <w:rsid w:val="002843D8"/>
    <w:rsid w:val="00284B98"/>
    <w:rsid w:val="00284BA4"/>
    <w:rsid w:val="00284E20"/>
    <w:rsid w:val="00285CB0"/>
    <w:rsid w:val="0028624B"/>
    <w:rsid w:val="00290602"/>
    <w:rsid w:val="00290DDD"/>
    <w:rsid w:val="002913BA"/>
    <w:rsid w:val="00291A54"/>
    <w:rsid w:val="002924CD"/>
    <w:rsid w:val="00293084"/>
    <w:rsid w:val="002942DA"/>
    <w:rsid w:val="00294338"/>
    <w:rsid w:val="0029505F"/>
    <w:rsid w:val="0029546E"/>
    <w:rsid w:val="00295CD9"/>
    <w:rsid w:val="002963D3"/>
    <w:rsid w:val="0029672A"/>
    <w:rsid w:val="00296874"/>
    <w:rsid w:val="00296A8B"/>
    <w:rsid w:val="002971DE"/>
    <w:rsid w:val="00297956"/>
    <w:rsid w:val="002A5106"/>
    <w:rsid w:val="002A534F"/>
    <w:rsid w:val="002A65AB"/>
    <w:rsid w:val="002A690F"/>
    <w:rsid w:val="002A7198"/>
    <w:rsid w:val="002B01EE"/>
    <w:rsid w:val="002B01FE"/>
    <w:rsid w:val="002B0245"/>
    <w:rsid w:val="002B0469"/>
    <w:rsid w:val="002B1C38"/>
    <w:rsid w:val="002B21B9"/>
    <w:rsid w:val="002B22B7"/>
    <w:rsid w:val="002B3434"/>
    <w:rsid w:val="002B51F6"/>
    <w:rsid w:val="002B5D62"/>
    <w:rsid w:val="002B65E9"/>
    <w:rsid w:val="002B6640"/>
    <w:rsid w:val="002B7830"/>
    <w:rsid w:val="002B7D40"/>
    <w:rsid w:val="002C03A2"/>
    <w:rsid w:val="002C164A"/>
    <w:rsid w:val="002C29C8"/>
    <w:rsid w:val="002C314B"/>
    <w:rsid w:val="002C6374"/>
    <w:rsid w:val="002C7717"/>
    <w:rsid w:val="002D0FC6"/>
    <w:rsid w:val="002D1EAB"/>
    <w:rsid w:val="002D2053"/>
    <w:rsid w:val="002D3017"/>
    <w:rsid w:val="002D38FE"/>
    <w:rsid w:val="002D3B63"/>
    <w:rsid w:val="002D3DF6"/>
    <w:rsid w:val="002D49BA"/>
    <w:rsid w:val="002D6179"/>
    <w:rsid w:val="002D67D1"/>
    <w:rsid w:val="002D78B1"/>
    <w:rsid w:val="002E1AA3"/>
    <w:rsid w:val="002E1AC3"/>
    <w:rsid w:val="002E21A6"/>
    <w:rsid w:val="002E2E97"/>
    <w:rsid w:val="002E2FC0"/>
    <w:rsid w:val="002E4BB3"/>
    <w:rsid w:val="002E4BFE"/>
    <w:rsid w:val="002E6BED"/>
    <w:rsid w:val="002E6CA1"/>
    <w:rsid w:val="002E73FB"/>
    <w:rsid w:val="002F0C76"/>
    <w:rsid w:val="002F0DC7"/>
    <w:rsid w:val="002F0EAC"/>
    <w:rsid w:val="002F1381"/>
    <w:rsid w:val="002F1FA2"/>
    <w:rsid w:val="002F20A1"/>
    <w:rsid w:val="002F2479"/>
    <w:rsid w:val="002F29B3"/>
    <w:rsid w:val="002F29BE"/>
    <w:rsid w:val="002F336A"/>
    <w:rsid w:val="002F36B2"/>
    <w:rsid w:val="002F455A"/>
    <w:rsid w:val="002F597E"/>
    <w:rsid w:val="002F6443"/>
    <w:rsid w:val="002F6B74"/>
    <w:rsid w:val="002F6BCF"/>
    <w:rsid w:val="002F7F7D"/>
    <w:rsid w:val="00300EB7"/>
    <w:rsid w:val="003021E6"/>
    <w:rsid w:val="003039F6"/>
    <w:rsid w:val="00303B5E"/>
    <w:rsid w:val="00303DFE"/>
    <w:rsid w:val="0030461F"/>
    <w:rsid w:val="00304851"/>
    <w:rsid w:val="00304D64"/>
    <w:rsid w:val="00304F82"/>
    <w:rsid w:val="00305529"/>
    <w:rsid w:val="00305D01"/>
    <w:rsid w:val="00306518"/>
    <w:rsid w:val="00307551"/>
    <w:rsid w:val="00307B17"/>
    <w:rsid w:val="0031029D"/>
    <w:rsid w:val="003105EC"/>
    <w:rsid w:val="00310778"/>
    <w:rsid w:val="0031109D"/>
    <w:rsid w:val="00312AA9"/>
    <w:rsid w:val="0031472C"/>
    <w:rsid w:val="0031476A"/>
    <w:rsid w:val="00314919"/>
    <w:rsid w:val="00314B60"/>
    <w:rsid w:val="003164EA"/>
    <w:rsid w:val="00316506"/>
    <w:rsid w:val="0031721C"/>
    <w:rsid w:val="00317793"/>
    <w:rsid w:val="00322331"/>
    <w:rsid w:val="003232A7"/>
    <w:rsid w:val="0032445C"/>
    <w:rsid w:val="003245BA"/>
    <w:rsid w:val="00325666"/>
    <w:rsid w:val="00327785"/>
    <w:rsid w:val="00327B29"/>
    <w:rsid w:val="003301E4"/>
    <w:rsid w:val="00330645"/>
    <w:rsid w:val="003316A2"/>
    <w:rsid w:val="003316C1"/>
    <w:rsid w:val="00333ECA"/>
    <w:rsid w:val="00334277"/>
    <w:rsid w:val="00334B52"/>
    <w:rsid w:val="00334F04"/>
    <w:rsid w:val="00335578"/>
    <w:rsid w:val="0033599C"/>
    <w:rsid w:val="003368BF"/>
    <w:rsid w:val="0033719A"/>
    <w:rsid w:val="00337BEE"/>
    <w:rsid w:val="00340362"/>
    <w:rsid w:val="0034062F"/>
    <w:rsid w:val="003407B4"/>
    <w:rsid w:val="00340A29"/>
    <w:rsid w:val="00341846"/>
    <w:rsid w:val="00342462"/>
    <w:rsid w:val="003428CE"/>
    <w:rsid w:val="00344465"/>
    <w:rsid w:val="003448F3"/>
    <w:rsid w:val="00345C3B"/>
    <w:rsid w:val="003464CF"/>
    <w:rsid w:val="0035015F"/>
    <w:rsid w:val="003509C8"/>
    <w:rsid w:val="003512F5"/>
    <w:rsid w:val="00353142"/>
    <w:rsid w:val="00354A66"/>
    <w:rsid w:val="00354C5D"/>
    <w:rsid w:val="003554F7"/>
    <w:rsid w:val="00356532"/>
    <w:rsid w:val="00356A32"/>
    <w:rsid w:val="00356F69"/>
    <w:rsid w:val="00357F13"/>
    <w:rsid w:val="00360E25"/>
    <w:rsid w:val="00361518"/>
    <w:rsid w:val="00361A47"/>
    <w:rsid w:val="00361B47"/>
    <w:rsid w:val="00362A85"/>
    <w:rsid w:val="00363CBA"/>
    <w:rsid w:val="003665AD"/>
    <w:rsid w:val="0036686E"/>
    <w:rsid w:val="00367325"/>
    <w:rsid w:val="00367E9B"/>
    <w:rsid w:val="00370EC4"/>
    <w:rsid w:val="0037179C"/>
    <w:rsid w:val="00371B8B"/>
    <w:rsid w:val="00372E9E"/>
    <w:rsid w:val="0037423F"/>
    <w:rsid w:val="0037534A"/>
    <w:rsid w:val="00376A2C"/>
    <w:rsid w:val="00376EC9"/>
    <w:rsid w:val="00377675"/>
    <w:rsid w:val="003778E6"/>
    <w:rsid w:val="003816FB"/>
    <w:rsid w:val="0038191D"/>
    <w:rsid w:val="00383E06"/>
    <w:rsid w:val="003840B8"/>
    <w:rsid w:val="00385EB1"/>
    <w:rsid w:val="003864A3"/>
    <w:rsid w:val="0038664D"/>
    <w:rsid w:val="003876CF"/>
    <w:rsid w:val="00390795"/>
    <w:rsid w:val="003917C1"/>
    <w:rsid w:val="003918C9"/>
    <w:rsid w:val="00391B19"/>
    <w:rsid w:val="00391ED8"/>
    <w:rsid w:val="003930D0"/>
    <w:rsid w:val="003930D9"/>
    <w:rsid w:val="00393508"/>
    <w:rsid w:val="003939E6"/>
    <w:rsid w:val="00393F76"/>
    <w:rsid w:val="00394E6F"/>
    <w:rsid w:val="00395566"/>
    <w:rsid w:val="00395FAB"/>
    <w:rsid w:val="003963CD"/>
    <w:rsid w:val="003A1294"/>
    <w:rsid w:val="003A1421"/>
    <w:rsid w:val="003A1F29"/>
    <w:rsid w:val="003A3829"/>
    <w:rsid w:val="003A41DE"/>
    <w:rsid w:val="003A52A3"/>
    <w:rsid w:val="003A576D"/>
    <w:rsid w:val="003A58E8"/>
    <w:rsid w:val="003A5F5B"/>
    <w:rsid w:val="003B0DB6"/>
    <w:rsid w:val="003B179C"/>
    <w:rsid w:val="003B1FB5"/>
    <w:rsid w:val="003B2C73"/>
    <w:rsid w:val="003B37DF"/>
    <w:rsid w:val="003B51AD"/>
    <w:rsid w:val="003B52AF"/>
    <w:rsid w:val="003B5592"/>
    <w:rsid w:val="003B6455"/>
    <w:rsid w:val="003B6E5D"/>
    <w:rsid w:val="003B7F83"/>
    <w:rsid w:val="003C05DC"/>
    <w:rsid w:val="003C074E"/>
    <w:rsid w:val="003C09E9"/>
    <w:rsid w:val="003C1858"/>
    <w:rsid w:val="003C18A4"/>
    <w:rsid w:val="003C1ECE"/>
    <w:rsid w:val="003C2278"/>
    <w:rsid w:val="003C2384"/>
    <w:rsid w:val="003C2885"/>
    <w:rsid w:val="003C3964"/>
    <w:rsid w:val="003C5807"/>
    <w:rsid w:val="003C5D3C"/>
    <w:rsid w:val="003C7265"/>
    <w:rsid w:val="003C76FE"/>
    <w:rsid w:val="003D265A"/>
    <w:rsid w:val="003D2CE1"/>
    <w:rsid w:val="003D2FFA"/>
    <w:rsid w:val="003D305C"/>
    <w:rsid w:val="003D320E"/>
    <w:rsid w:val="003D44B6"/>
    <w:rsid w:val="003D5058"/>
    <w:rsid w:val="003D53A8"/>
    <w:rsid w:val="003D560C"/>
    <w:rsid w:val="003D61B1"/>
    <w:rsid w:val="003D6784"/>
    <w:rsid w:val="003D6E5B"/>
    <w:rsid w:val="003E17BB"/>
    <w:rsid w:val="003E2F2A"/>
    <w:rsid w:val="003E3D04"/>
    <w:rsid w:val="003E46E7"/>
    <w:rsid w:val="003E4E4C"/>
    <w:rsid w:val="003E5FC2"/>
    <w:rsid w:val="003E7B00"/>
    <w:rsid w:val="003F04EF"/>
    <w:rsid w:val="003F18AB"/>
    <w:rsid w:val="003F2146"/>
    <w:rsid w:val="003F2229"/>
    <w:rsid w:val="003F2755"/>
    <w:rsid w:val="003F2ABB"/>
    <w:rsid w:val="003F2EED"/>
    <w:rsid w:val="003F38D1"/>
    <w:rsid w:val="003F4117"/>
    <w:rsid w:val="003F4274"/>
    <w:rsid w:val="003F5235"/>
    <w:rsid w:val="003F52DB"/>
    <w:rsid w:val="003F56E8"/>
    <w:rsid w:val="003F60CB"/>
    <w:rsid w:val="003F61B1"/>
    <w:rsid w:val="003F7B76"/>
    <w:rsid w:val="004005EA"/>
    <w:rsid w:val="004008A3"/>
    <w:rsid w:val="00401B19"/>
    <w:rsid w:val="00402808"/>
    <w:rsid w:val="00402CC0"/>
    <w:rsid w:val="0040368C"/>
    <w:rsid w:val="0040473C"/>
    <w:rsid w:val="00404972"/>
    <w:rsid w:val="00405960"/>
    <w:rsid w:val="004061F1"/>
    <w:rsid w:val="0040745E"/>
    <w:rsid w:val="004075AA"/>
    <w:rsid w:val="00410A38"/>
    <w:rsid w:val="00411120"/>
    <w:rsid w:val="0041131C"/>
    <w:rsid w:val="0041142B"/>
    <w:rsid w:val="0041277B"/>
    <w:rsid w:val="00413569"/>
    <w:rsid w:val="004139AD"/>
    <w:rsid w:val="00413E6C"/>
    <w:rsid w:val="00414030"/>
    <w:rsid w:val="00415AA7"/>
    <w:rsid w:val="0041624F"/>
    <w:rsid w:val="0041649B"/>
    <w:rsid w:val="00420AE2"/>
    <w:rsid w:val="004219C1"/>
    <w:rsid w:val="00421C55"/>
    <w:rsid w:val="004224EA"/>
    <w:rsid w:val="00424292"/>
    <w:rsid w:val="0042467E"/>
    <w:rsid w:val="0042569F"/>
    <w:rsid w:val="00425778"/>
    <w:rsid w:val="004269A5"/>
    <w:rsid w:val="00427047"/>
    <w:rsid w:val="00427063"/>
    <w:rsid w:val="00427A98"/>
    <w:rsid w:val="00427C87"/>
    <w:rsid w:val="00430DF2"/>
    <w:rsid w:val="0043152C"/>
    <w:rsid w:val="00432854"/>
    <w:rsid w:val="00432E74"/>
    <w:rsid w:val="0043413C"/>
    <w:rsid w:val="00434C78"/>
    <w:rsid w:val="00434D31"/>
    <w:rsid w:val="00435CDE"/>
    <w:rsid w:val="00437F8E"/>
    <w:rsid w:val="00440328"/>
    <w:rsid w:val="0044204E"/>
    <w:rsid w:val="0044375C"/>
    <w:rsid w:val="00444AF6"/>
    <w:rsid w:val="00445D4C"/>
    <w:rsid w:val="00445D68"/>
    <w:rsid w:val="004505D7"/>
    <w:rsid w:val="00451E08"/>
    <w:rsid w:val="0045270D"/>
    <w:rsid w:val="00452B2D"/>
    <w:rsid w:val="00452E05"/>
    <w:rsid w:val="00453467"/>
    <w:rsid w:val="00453C73"/>
    <w:rsid w:val="004546AC"/>
    <w:rsid w:val="00460009"/>
    <w:rsid w:val="00460D2A"/>
    <w:rsid w:val="00461C1D"/>
    <w:rsid w:val="0046323D"/>
    <w:rsid w:val="0046343F"/>
    <w:rsid w:val="00464BF6"/>
    <w:rsid w:val="00464DB6"/>
    <w:rsid w:val="00465209"/>
    <w:rsid w:val="00465F9D"/>
    <w:rsid w:val="00467911"/>
    <w:rsid w:val="00470AF7"/>
    <w:rsid w:val="00471A31"/>
    <w:rsid w:val="00472CB4"/>
    <w:rsid w:val="00473053"/>
    <w:rsid w:val="004730B7"/>
    <w:rsid w:val="0047316E"/>
    <w:rsid w:val="004741F1"/>
    <w:rsid w:val="00474AC0"/>
    <w:rsid w:val="00475209"/>
    <w:rsid w:val="00477F62"/>
    <w:rsid w:val="004806D4"/>
    <w:rsid w:val="0048085D"/>
    <w:rsid w:val="004812B4"/>
    <w:rsid w:val="004817C8"/>
    <w:rsid w:val="0048249C"/>
    <w:rsid w:val="0048288C"/>
    <w:rsid w:val="00483414"/>
    <w:rsid w:val="00483A26"/>
    <w:rsid w:val="00486444"/>
    <w:rsid w:val="004919D9"/>
    <w:rsid w:val="00491FDC"/>
    <w:rsid w:val="00492BDA"/>
    <w:rsid w:val="00492FED"/>
    <w:rsid w:val="004935DF"/>
    <w:rsid w:val="004940D6"/>
    <w:rsid w:val="00494623"/>
    <w:rsid w:val="0049742A"/>
    <w:rsid w:val="00497E36"/>
    <w:rsid w:val="00497FF8"/>
    <w:rsid w:val="004A0FC4"/>
    <w:rsid w:val="004A20CD"/>
    <w:rsid w:val="004A3323"/>
    <w:rsid w:val="004A397E"/>
    <w:rsid w:val="004A4F1C"/>
    <w:rsid w:val="004A56B9"/>
    <w:rsid w:val="004A5B82"/>
    <w:rsid w:val="004A663B"/>
    <w:rsid w:val="004B0F86"/>
    <w:rsid w:val="004B1B30"/>
    <w:rsid w:val="004B3255"/>
    <w:rsid w:val="004B32CB"/>
    <w:rsid w:val="004B4B77"/>
    <w:rsid w:val="004B60F5"/>
    <w:rsid w:val="004B666B"/>
    <w:rsid w:val="004B6E2E"/>
    <w:rsid w:val="004B74BB"/>
    <w:rsid w:val="004C0AC3"/>
    <w:rsid w:val="004C0C98"/>
    <w:rsid w:val="004C1016"/>
    <w:rsid w:val="004C1954"/>
    <w:rsid w:val="004C3B91"/>
    <w:rsid w:val="004C3C01"/>
    <w:rsid w:val="004C4D31"/>
    <w:rsid w:val="004C6224"/>
    <w:rsid w:val="004C7AC8"/>
    <w:rsid w:val="004C7E77"/>
    <w:rsid w:val="004D0201"/>
    <w:rsid w:val="004D1809"/>
    <w:rsid w:val="004D1AB0"/>
    <w:rsid w:val="004D1F55"/>
    <w:rsid w:val="004D1FD8"/>
    <w:rsid w:val="004D2A47"/>
    <w:rsid w:val="004D4456"/>
    <w:rsid w:val="004D7F67"/>
    <w:rsid w:val="004E1EA6"/>
    <w:rsid w:val="004E2D47"/>
    <w:rsid w:val="004E367F"/>
    <w:rsid w:val="004E36AD"/>
    <w:rsid w:val="004E3DE2"/>
    <w:rsid w:val="004E41DE"/>
    <w:rsid w:val="004E716D"/>
    <w:rsid w:val="004F2B0B"/>
    <w:rsid w:val="004F3585"/>
    <w:rsid w:val="004F3B7E"/>
    <w:rsid w:val="004F733D"/>
    <w:rsid w:val="004F7853"/>
    <w:rsid w:val="00503C60"/>
    <w:rsid w:val="00504328"/>
    <w:rsid w:val="0050493E"/>
    <w:rsid w:val="005052C9"/>
    <w:rsid w:val="005063BC"/>
    <w:rsid w:val="0050648D"/>
    <w:rsid w:val="00506988"/>
    <w:rsid w:val="00506DA9"/>
    <w:rsid w:val="00506E24"/>
    <w:rsid w:val="00507309"/>
    <w:rsid w:val="0051097F"/>
    <w:rsid w:val="00510B4E"/>
    <w:rsid w:val="0051150B"/>
    <w:rsid w:val="00511C8D"/>
    <w:rsid w:val="0051243E"/>
    <w:rsid w:val="00512A4B"/>
    <w:rsid w:val="00512C26"/>
    <w:rsid w:val="0051372E"/>
    <w:rsid w:val="00513971"/>
    <w:rsid w:val="00514F0B"/>
    <w:rsid w:val="0051554E"/>
    <w:rsid w:val="00515F43"/>
    <w:rsid w:val="005169B6"/>
    <w:rsid w:val="00516B33"/>
    <w:rsid w:val="00517F48"/>
    <w:rsid w:val="00520BFF"/>
    <w:rsid w:val="00522600"/>
    <w:rsid w:val="00522785"/>
    <w:rsid w:val="00522C34"/>
    <w:rsid w:val="00523E8D"/>
    <w:rsid w:val="00524FDA"/>
    <w:rsid w:val="00525577"/>
    <w:rsid w:val="005255C4"/>
    <w:rsid w:val="005259EE"/>
    <w:rsid w:val="00525ECF"/>
    <w:rsid w:val="00526F97"/>
    <w:rsid w:val="0053100A"/>
    <w:rsid w:val="005335EA"/>
    <w:rsid w:val="00534017"/>
    <w:rsid w:val="00534E03"/>
    <w:rsid w:val="00536002"/>
    <w:rsid w:val="00536145"/>
    <w:rsid w:val="0053676A"/>
    <w:rsid w:val="005378EA"/>
    <w:rsid w:val="005401D8"/>
    <w:rsid w:val="00540C58"/>
    <w:rsid w:val="00541631"/>
    <w:rsid w:val="0054304C"/>
    <w:rsid w:val="005432D5"/>
    <w:rsid w:val="00544A71"/>
    <w:rsid w:val="00545F3C"/>
    <w:rsid w:val="0054661C"/>
    <w:rsid w:val="0055032B"/>
    <w:rsid w:val="00550C09"/>
    <w:rsid w:val="0055285F"/>
    <w:rsid w:val="00552A42"/>
    <w:rsid w:val="00555080"/>
    <w:rsid w:val="0055564C"/>
    <w:rsid w:val="005563EA"/>
    <w:rsid w:val="00557580"/>
    <w:rsid w:val="00560415"/>
    <w:rsid w:val="005604A8"/>
    <w:rsid w:val="005621E4"/>
    <w:rsid w:val="00562688"/>
    <w:rsid w:val="00562FAC"/>
    <w:rsid w:val="00562FF6"/>
    <w:rsid w:val="0056363A"/>
    <w:rsid w:val="00563AD6"/>
    <w:rsid w:val="005645A1"/>
    <w:rsid w:val="00564A19"/>
    <w:rsid w:val="00565DAA"/>
    <w:rsid w:val="00567981"/>
    <w:rsid w:val="005710B2"/>
    <w:rsid w:val="00571234"/>
    <w:rsid w:val="00571882"/>
    <w:rsid w:val="0057191D"/>
    <w:rsid w:val="00571E01"/>
    <w:rsid w:val="00572ABF"/>
    <w:rsid w:val="00573859"/>
    <w:rsid w:val="00573D6C"/>
    <w:rsid w:val="00573DEA"/>
    <w:rsid w:val="0057469F"/>
    <w:rsid w:val="00574AD4"/>
    <w:rsid w:val="005771EA"/>
    <w:rsid w:val="00581216"/>
    <w:rsid w:val="00581450"/>
    <w:rsid w:val="00581A9A"/>
    <w:rsid w:val="00581C3E"/>
    <w:rsid w:val="00582E9C"/>
    <w:rsid w:val="00583DA7"/>
    <w:rsid w:val="00584B6B"/>
    <w:rsid w:val="00584FE4"/>
    <w:rsid w:val="00585E4D"/>
    <w:rsid w:val="005861D1"/>
    <w:rsid w:val="00586D31"/>
    <w:rsid w:val="00586F42"/>
    <w:rsid w:val="00587E82"/>
    <w:rsid w:val="005905F1"/>
    <w:rsid w:val="00590D88"/>
    <w:rsid w:val="0059186B"/>
    <w:rsid w:val="00592EA2"/>
    <w:rsid w:val="00593572"/>
    <w:rsid w:val="00593E2D"/>
    <w:rsid w:val="0059449B"/>
    <w:rsid w:val="00596A74"/>
    <w:rsid w:val="0059736D"/>
    <w:rsid w:val="005A03D5"/>
    <w:rsid w:val="005A081A"/>
    <w:rsid w:val="005A0A1C"/>
    <w:rsid w:val="005A0C0E"/>
    <w:rsid w:val="005A1144"/>
    <w:rsid w:val="005A1E41"/>
    <w:rsid w:val="005A2248"/>
    <w:rsid w:val="005A234D"/>
    <w:rsid w:val="005A2A4F"/>
    <w:rsid w:val="005A31AE"/>
    <w:rsid w:val="005A3505"/>
    <w:rsid w:val="005A3A2A"/>
    <w:rsid w:val="005A3A99"/>
    <w:rsid w:val="005A53CA"/>
    <w:rsid w:val="005A5F6A"/>
    <w:rsid w:val="005A64E5"/>
    <w:rsid w:val="005A6B5B"/>
    <w:rsid w:val="005A754A"/>
    <w:rsid w:val="005A7B46"/>
    <w:rsid w:val="005A7FE3"/>
    <w:rsid w:val="005B0E3E"/>
    <w:rsid w:val="005B16B7"/>
    <w:rsid w:val="005B2FCF"/>
    <w:rsid w:val="005B39F5"/>
    <w:rsid w:val="005B417A"/>
    <w:rsid w:val="005B76C7"/>
    <w:rsid w:val="005B7759"/>
    <w:rsid w:val="005C1A20"/>
    <w:rsid w:val="005C3791"/>
    <w:rsid w:val="005C3C63"/>
    <w:rsid w:val="005C437B"/>
    <w:rsid w:val="005C47C5"/>
    <w:rsid w:val="005C47C8"/>
    <w:rsid w:val="005C4CDC"/>
    <w:rsid w:val="005C59C2"/>
    <w:rsid w:val="005C5ABD"/>
    <w:rsid w:val="005D3B9B"/>
    <w:rsid w:val="005D4C51"/>
    <w:rsid w:val="005D4EDD"/>
    <w:rsid w:val="005D4F3A"/>
    <w:rsid w:val="005D5F2A"/>
    <w:rsid w:val="005E028C"/>
    <w:rsid w:val="005E2219"/>
    <w:rsid w:val="005E392F"/>
    <w:rsid w:val="005E3D35"/>
    <w:rsid w:val="005E41E9"/>
    <w:rsid w:val="005E5C07"/>
    <w:rsid w:val="005E5F2E"/>
    <w:rsid w:val="005E6805"/>
    <w:rsid w:val="005E7202"/>
    <w:rsid w:val="005E7327"/>
    <w:rsid w:val="005F03D8"/>
    <w:rsid w:val="005F061F"/>
    <w:rsid w:val="005F08FE"/>
    <w:rsid w:val="005F0B0D"/>
    <w:rsid w:val="005F10FD"/>
    <w:rsid w:val="005F139C"/>
    <w:rsid w:val="005F15E3"/>
    <w:rsid w:val="005F1920"/>
    <w:rsid w:val="005F2883"/>
    <w:rsid w:val="005F2C64"/>
    <w:rsid w:val="005F36E3"/>
    <w:rsid w:val="005F3A8D"/>
    <w:rsid w:val="005F3CA3"/>
    <w:rsid w:val="005F4768"/>
    <w:rsid w:val="005F5281"/>
    <w:rsid w:val="005F68E7"/>
    <w:rsid w:val="005F6C97"/>
    <w:rsid w:val="005F6EA3"/>
    <w:rsid w:val="00600307"/>
    <w:rsid w:val="00600DA7"/>
    <w:rsid w:val="006015F7"/>
    <w:rsid w:val="006026B9"/>
    <w:rsid w:val="00602EDD"/>
    <w:rsid w:val="0060517D"/>
    <w:rsid w:val="006051BD"/>
    <w:rsid w:val="00606E23"/>
    <w:rsid w:val="00607143"/>
    <w:rsid w:val="006077AF"/>
    <w:rsid w:val="00610E7F"/>
    <w:rsid w:val="00610EE6"/>
    <w:rsid w:val="00612016"/>
    <w:rsid w:val="00613739"/>
    <w:rsid w:val="00613C5B"/>
    <w:rsid w:val="00614782"/>
    <w:rsid w:val="00616402"/>
    <w:rsid w:val="006169F4"/>
    <w:rsid w:val="006173F1"/>
    <w:rsid w:val="00617B93"/>
    <w:rsid w:val="006200FE"/>
    <w:rsid w:val="00620EC3"/>
    <w:rsid w:val="00620F97"/>
    <w:rsid w:val="006213E7"/>
    <w:rsid w:val="00623546"/>
    <w:rsid w:val="00623AF3"/>
    <w:rsid w:val="00624767"/>
    <w:rsid w:val="0062487E"/>
    <w:rsid w:val="0062630D"/>
    <w:rsid w:val="006269B0"/>
    <w:rsid w:val="00626A2C"/>
    <w:rsid w:val="00627D52"/>
    <w:rsid w:val="00630D3F"/>
    <w:rsid w:val="0063174D"/>
    <w:rsid w:val="006317F8"/>
    <w:rsid w:val="006326B3"/>
    <w:rsid w:val="00632ABF"/>
    <w:rsid w:val="0063349B"/>
    <w:rsid w:val="006338BC"/>
    <w:rsid w:val="00636958"/>
    <w:rsid w:val="00640037"/>
    <w:rsid w:val="00640499"/>
    <w:rsid w:val="006406EE"/>
    <w:rsid w:val="00642D0B"/>
    <w:rsid w:val="00642EC1"/>
    <w:rsid w:val="00642F0D"/>
    <w:rsid w:val="00643F10"/>
    <w:rsid w:val="006442F4"/>
    <w:rsid w:val="00644439"/>
    <w:rsid w:val="00645C5A"/>
    <w:rsid w:val="00645D97"/>
    <w:rsid w:val="00646DEF"/>
    <w:rsid w:val="00647302"/>
    <w:rsid w:val="0064783C"/>
    <w:rsid w:val="0065197E"/>
    <w:rsid w:val="00651B09"/>
    <w:rsid w:val="006524D9"/>
    <w:rsid w:val="00654552"/>
    <w:rsid w:val="006549C1"/>
    <w:rsid w:val="0065789A"/>
    <w:rsid w:val="00657F2A"/>
    <w:rsid w:val="006621E3"/>
    <w:rsid w:val="00662A63"/>
    <w:rsid w:val="00662B2F"/>
    <w:rsid w:val="006632E9"/>
    <w:rsid w:val="00663D6A"/>
    <w:rsid w:val="006655BE"/>
    <w:rsid w:val="00665E7A"/>
    <w:rsid w:val="00666010"/>
    <w:rsid w:val="00666A5A"/>
    <w:rsid w:val="00670BFE"/>
    <w:rsid w:val="006721D6"/>
    <w:rsid w:val="006725A9"/>
    <w:rsid w:val="006728F7"/>
    <w:rsid w:val="00672A04"/>
    <w:rsid w:val="006731CA"/>
    <w:rsid w:val="00673783"/>
    <w:rsid w:val="00673956"/>
    <w:rsid w:val="00673DCB"/>
    <w:rsid w:val="006744E2"/>
    <w:rsid w:val="00675922"/>
    <w:rsid w:val="006765BE"/>
    <w:rsid w:val="006768E7"/>
    <w:rsid w:val="00677FE1"/>
    <w:rsid w:val="00681987"/>
    <w:rsid w:val="00683D32"/>
    <w:rsid w:val="00684214"/>
    <w:rsid w:val="00684F4C"/>
    <w:rsid w:val="006852B9"/>
    <w:rsid w:val="006854C1"/>
    <w:rsid w:val="00685FF0"/>
    <w:rsid w:val="00686FF6"/>
    <w:rsid w:val="00687BDA"/>
    <w:rsid w:val="0069049F"/>
    <w:rsid w:val="00690DB4"/>
    <w:rsid w:val="00690EC7"/>
    <w:rsid w:val="0069129A"/>
    <w:rsid w:val="00693601"/>
    <w:rsid w:val="00693BE1"/>
    <w:rsid w:val="00694927"/>
    <w:rsid w:val="006953B4"/>
    <w:rsid w:val="00696D22"/>
    <w:rsid w:val="00697332"/>
    <w:rsid w:val="006A1202"/>
    <w:rsid w:val="006A16BC"/>
    <w:rsid w:val="006A1ECF"/>
    <w:rsid w:val="006A1F89"/>
    <w:rsid w:val="006A2524"/>
    <w:rsid w:val="006A51BF"/>
    <w:rsid w:val="006A5728"/>
    <w:rsid w:val="006A7872"/>
    <w:rsid w:val="006B36CD"/>
    <w:rsid w:val="006B3E62"/>
    <w:rsid w:val="006B4078"/>
    <w:rsid w:val="006B4298"/>
    <w:rsid w:val="006B493D"/>
    <w:rsid w:val="006B4ADA"/>
    <w:rsid w:val="006B5257"/>
    <w:rsid w:val="006B5298"/>
    <w:rsid w:val="006B56CC"/>
    <w:rsid w:val="006B69A9"/>
    <w:rsid w:val="006C05D6"/>
    <w:rsid w:val="006C124C"/>
    <w:rsid w:val="006C1BBC"/>
    <w:rsid w:val="006C20B9"/>
    <w:rsid w:val="006C3357"/>
    <w:rsid w:val="006C3DA1"/>
    <w:rsid w:val="006C4183"/>
    <w:rsid w:val="006C4903"/>
    <w:rsid w:val="006C4DFE"/>
    <w:rsid w:val="006C573F"/>
    <w:rsid w:val="006C6567"/>
    <w:rsid w:val="006C7AE7"/>
    <w:rsid w:val="006C7F42"/>
    <w:rsid w:val="006D173A"/>
    <w:rsid w:val="006D231D"/>
    <w:rsid w:val="006D2A70"/>
    <w:rsid w:val="006D3831"/>
    <w:rsid w:val="006D4186"/>
    <w:rsid w:val="006D46BB"/>
    <w:rsid w:val="006D6AEC"/>
    <w:rsid w:val="006D719B"/>
    <w:rsid w:val="006D7D66"/>
    <w:rsid w:val="006E08F3"/>
    <w:rsid w:val="006E1CD0"/>
    <w:rsid w:val="006E2681"/>
    <w:rsid w:val="006E3287"/>
    <w:rsid w:val="006E35E3"/>
    <w:rsid w:val="006E40D5"/>
    <w:rsid w:val="006E4182"/>
    <w:rsid w:val="006E4856"/>
    <w:rsid w:val="006E5B24"/>
    <w:rsid w:val="006E6DAE"/>
    <w:rsid w:val="006E6F1C"/>
    <w:rsid w:val="006F0927"/>
    <w:rsid w:val="006F1CAA"/>
    <w:rsid w:val="006F22F2"/>
    <w:rsid w:val="006F23EE"/>
    <w:rsid w:val="006F307E"/>
    <w:rsid w:val="006F331B"/>
    <w:rsid w:val="006F3A5B"/>
    <w:rsid w:val="006F3FC4"/>
    <w:rsid w:val="006F4CB3"/>
    <w:rsid w:val="006F4E71"/>
    <w:rsid w:val="006F6496"/>
    <w:rsid w:val="006F7A22"/>
    <w:rsid w:val="00700117"/>
    <w:rsid w:val="00700A2A"/>
    <w:rsid w:val="00703A70"/>
    <w:rsid w:val="00703CF4"/>
    <w:rsid w:val="00704374"/>
    <w:rsid w:val="00706EA3"/>
    <w:rsid w:val="00707EBB"/>
    <w:rsid w:val="007101A3"/>
    <w:rsid w:val="007141DC"/>
    <w:rsid w:val="007143CD"/>
    <w:rsid w:val="00714468"/>
    <w:rsid w:val="00714597"/>
    <w:rsid w:val="007155A5"/>
    <w:rsid w:val="0071568E"/>
    <w:rsid w:val="00715DDA"/>
    <w:rsid w:val="00716ABD"/>
    <w:rsid w:val="00717E40"/>
    <w:rsid w:val="007202CA"/>
    <w:rsid w:val="00720CF6"/>
    <w:rsid w:val="00721C17"/>
    <w:rsid w:val="00723118"/>
    <w:rsid w:val="00725EB5"/>
    <w:rsid w:val="0072651E"/>
    <w:rsid w:val="007266DF"/>
    <w:rsid w:val="0072690D"/>
    <w:rsid w:val="00727D3D"/>
    <w:rsid w:val="00727F61"/>
    <w:rsid w:val="00731719"/>
    <w:rsid w:val="00731742"/>
    <w:rsid w:val="00732554"/>
    <w:rsid w:val="00732C4F"/>
    <w:rsid w:val="00732D1B"/>
    <w:rsid w:val="007338A9"/>
    <w:rsid w:val="007339F4"/>
    <w:rsid w:val="00733A23"/>
    <w:rsid w:val="00733CF2"/>
    <w:rsid w:val="00733DD9"/>
    <w:rsid w:val="00734445"/>
    <w:rsid w:val="0073485D"/>
    <w:rsid w:val="00734B2F"/>
    <w:rsid w:val="007355BC"/>
    <w:rsid w:val="00735FF0"/>
    <w:rsid w:val="00737546"/>
    <w:rsid w:val="00737678"/>
    <w:rsid w:val="00737947"/>
    <w:rsid w:val="00737BF9"/>
    <w:rsid w:val="007416B7"/>
    <w:rsid w:val="00741F02"/>
    <w:rsid w:val="00742003"/>
    <w:rsid w:val="0074393D"/>
    <w:rsid w:val="00744904"/>
    <w:rsid w:val="0074540D"/>
    <w:rsid w:val="00747401"/>
    <w:rsid w:val="00750033"/>
    <w:rsid w:val="007504D4"/>
    <w:rsid w:val="00751B73"/>
    <w:rsid w:val="00753496"/>
    <w:rsid w:val="007534BA"/>
    <w:rsid w:val="00753537"/>
    <w:rsid w:val="0075403C"/>
    <w:rsid w:val="00754608"/>
    <w:rsid w:val="0075488E"/>
    <w:rsid w:val="007556F8"/>
    <w:rsid w:val="0075586A"/>
    <w:rsid w:val="00755A8A"/>
    <w:rsid w:val="00757130"/>
    <w:rsid w:val="007572B6"/>
    <w:rsid w:val="007631F6"/>
    <w:rsid w:val="00764028"/>
    <w:rsid w:val="0076542A"/>
    <w:rsid w:val="007667A6"/>
    <w:rsid w:val="00766A21"/>
    <w:rsid w:val="00766CE9"/>
    <w:rsid w:val="00766FD0"/>
    <w:rsid w:val="00767748"/>
    <w:rsid w:val="0076777E"/>
    <w:rsid w:val="00773811"/>
    <w:rsid w:val="00773CA6"/>
    <w:rsid w:val="00773D82"/>
    <w:rsid w:val="00774215"/>
    <w:rsid w:val="007753D9"/>
    <w:rsid w:val="00775D76"/>
    <w:rsid w:val="00781BDB"/>
    <w:rsid w:val="00781F19"/>
    <w:rsid w:val="007828D4"/>
    <w:rsid w:val="007838DA"/>
    <w:rsid w:val="00783D1E"/>
    <w:rsid w:val="0078488B"/>
    <w:rsid w:val="00784B86"/>
    <w:rsid w:val="007869A6"/>
    <w:rsid w:val="00787C3E"/>
    <w:rsid w:val="007924BA"/>
    <w:rsid w:val="00792EBA"/>
    <w:rsid w:val="00793899"/>
    <w:rsid w:val="007954D3"/>
    <w:rsid w:val="00797CD3"/>
    <w:rsid w:val="007A0536"/>
    <w:rsid w:val="007A06C1"/>
    <w:rsid w:val="007A0713"/>
    <w:rsid w:val="007A2490"/>
    <w:rsid w:val="007A43A2"/>
    <w:rsid w:val="007A535B"/>
    <w:rsid w:val="007A541E"/>
    <w:rsid w:val="007A57E6"/>
    <w:rsid w:val="007A6557"/>
    <w:rsid w:val="007A6D4C"/>
    <w:rsid w:val="007A7B98"/>
    <w:rsid w:val="007A7BA6"/>
    <w:rsid w:val="007B0DF5"/>
    <w:rsid w:val="007B0E0D"/>
    <w:rsid w:val="007B17B8"/>
    <w:rsid w:val="007B1E8B"/>
    <w:rsid w:val="007B2344"/>
    <w:rsid w:val="007B24B5"/>
    <w:rsid w:val="007B413F"/>
    <w:rsid w:val="007B419F"/>
    <w:rsid w:val="007B609D"/>
    <w:rsid w:val="007B630E"/>
    <w:rsid w:val="007B72C8"/>
    <w:rsid w:val="007B744D"/>
    <w:rsid w:val="007C0755"/>
    <w:rsid w:val="007C267F"/>
    <w:rsid w:val="007C3108"/>
    <w:rsid w:val="007C38E2"/>
    <w:rsid w:val="007C3E3D"/>
    <w:rsid w:val="007C4022"/>
    <w:rsid w:val="007C41D7"/>
    <w:rsid w:val="007C4CE4"/>
    <w:rsid w:val="007C4DDB"/>
    <w:rsid w:val="007C55A4"/>
    <w:rsid w:val="007C5DFE"/>
    <w:rsid w:val="007C66BC"/>
    <w:rsid w:val="007C7C01"/>
    <w:rsid w:val="007D0B30"/>
    <w:rsid w:val="007D0C01"/>
    <w:rsid w:val="007D0F24"/>
    <w:rsid w:val="007D1CAA"/>
    <w:rsid w:val="007D2015"/>
    <w:rsid w:val="007D2486"/>
    <w:rsid w:val="007D28C7"/>
    <w:rsid w:val="007D2B2B"/>
    <w:rsid w:val="007D3636"/>
    <w:rsid w:val="007D37AA"/>
    <w:rsid w:val="007D43E6"/>
    <w:rsid w:val="007D52E0"/>
    <w:rsid w:val="007D5A6D"/>
    <w:rsid w:val="007D600D"/>
    <w:rsid w:val="007D6351"/>
    <w:rsid w:val="007D6F51"/>
    <w:rsid w:val="007E0DD5"/>
    <w:rsid w:val="007E1506"/>
    <w:rsid w:val="007E1FD2"/>
    <w:rsid w:val="007E2A52"/>
    <w:rsid w:val="007E46DA"/>
    <w:rsid w:val="007E5117"/>
    <w:rsid w:val="007E6B77"/>
    <w:rsid w:val="007E7533"/>
    <w:rsid w:val="007F0096"/>
    <w:rsid w:val="007F285C"/>
    <w:rsid w:val="007F2C06"/>
    <w:rsid w:val="007F4B3B"/>
    <w:rsid w:val="007F5688"/>
    <w:rsid w:val="007F59B2"/>
    <w:rsid w:val="007F685E"/>
    <w:rsid w:val="0080023C"/>
    <w:rsid w:val="008006D6"/>
    <w:rsid w:val="00800CA4"/>
    <w:rsid w:val="00801282"/>
    <w:rsid w:val="00803FD6"/>
    <w:rsid w:val="008053F2"/>
    <w:rsid w:val="00805FB0"/>
    <w:rsid w:val="0080628A"/>
    <w:rsid w:val="00810008"/>
    <w:rsid w:val="00810202"/>
    <w:rsid w:val="00810312"/>
    <w:rsid w:val="00811133"/>
    <w:rsid w:val="008115CC"/>
    <w:rsid w:val="008121C3"/>
    <w:rsid w:val="0081264D"/>
    <w:rsid w:val="00812EE4"/>
    <w:rsid w:val="00812FA8"/>
    <w:rsid w:val="00813432"/>
    <w:rsid w:val="00814F7F"/>
    <w:rsid w:val="008159E5"/>
    <w:rsid w:val="00816D59"/>
    <w:rsid w:val="008170E1"/>
    <w:rsid w:val="00820277"/>
    <w:rsid w:val="00820BE9"/>
    <w:rsid w:val="00820D8B"/>
    <w:rsid w:val="00821153"/>
    <w:rsid w:val="00822645"/>
    <w:rsid w:val="00822CC6"/>
    <w:rsid w:val="008242B0"/>
    <w:rsid w:val="00825177"/>
    <w:rsid w:val="008251AA"/>
    <w:rsid w:val="008253F6"/>
    <w:rsid w:val="00825685"/>
    <w:rsid w:val="008258A7"/>
    <w:rsid w:val="00825906"/>
    <w:rsid w:val="00826C94"/>
    <w:rsid w:val="00830B98"/>
    <w:rsid w:val="00830C10"/>
    <w:rsid w:val="00831D0D"/>
    <w:rsid w:val="00834C10"/>
    <w:rsid w:val="008351F9"/>
    <w:rsid w:val="008358BC"/>
    <w:rsid w:val="00835BBD"/>
    <w:rsid w:val="008404CE"/>
    <w:rsid w:val="00840B78"/>
    <w:rsid w:val="00840F3E"/>
    <w:rsid w:val="008410AB"/>
    <w:rsid w:val="00842C39"/>
    <w:rsid w:val="0084422D"/>
    <w:rsid w:val="008443C3"/>
    <w:rsid w:val="008445A1"/>
    <w:rsid w:val="00845050"/>
    <w:rsid w:val="00845DEE"/>
    <w:rsid w:val="00846531"/>
    <w:rsid w:val="00846A27"/>
    <w:rsid w:val="00846A85"/>
    <w:rsid w:val="00846FC1"/>
    <w:rsid w:val="0084799D"/>
    <w:rsid w:val="008502FF"/>
    <w:rsid w:val="008510FC"/>
    <w:rsid w:val="008529E1"/>
    <w:rsid w:val="00853836"/>
    <w:rsid w:val="008540F4"/>
    <w:rsid w:val="00854F09"/>
    <w:rsid w:val="008550EF"/>
    <w:rsid w:val="008575B2"/>
    <w:rsid w:val="0086160A"/>
    <w:rsid w:val="00861DEB"/>
    <w:rsid w:val="00861F36"/>
    <w:rsid w:val="00862809"/>
    <w:rsid w:val="0086421F"/>
    <w:rsid w:val="00864BFF"/>
    <w:rsid w:val="0086553F"/>
    <w:rsid w:val="00865575"/>
    <w:rsid w:val="00867A96"/>
    <w:rsid w:val="00870593"/>
    <w:rsid w:val="00870CC4"/>
    <w:rsid w:val="008712E7"/>
    <w:rsid w:val="00871509"/>
    <w:rsid w:val="00871F2C"/>
    <w:rsid w:val="0087207D"/>
    <w:rsid w:val="0087252F"/>
    <w:rsid w:val="00872F0F"/>
    <w:rsid w:val="0087337B"/>
    <w:rsid w:val="008741F4"/>
    <w:rsid w:val="00874B8A"/>
    <w:rsid w:val="0087576C"/>
    <w:rsid w:val="008765BB"/>
    <w:rsid w:val="00880185"/>
    <w:rsid w:val="008802FA"/>
    <w:rsid w:val="00882B13"/>
    <w:rsid w:val="008835AF"/>
    <w:rsid w:val="008839C7"/>
    <w:rsid w:val="00883EC9"/>
    <w:rsid w:val="008842ED"/>
    <w:rsid w:val="00884FDF"/>
    <w:rsid w:val="0088500D"/>
    <w:rsid w:val="00885D6A"/>
    <w:rsid w:val="00885ED7"/>
    <w:rsid w:val="008871A3"/>
    <w:rsid w:val="00887571"/>
    <w:rsid w:val="00887C9C"/>
    <w:rsid w:val="008905E1"/>
    <w:rsid w:val="00891824"/>
    <w:rsid w:val="008923DA"/>
    <w:rsid w:val="008924A5"/>
    <w:rsid w:val="00892C1A"/>
    <w:rsid w:val="0089383E"/>
    <w:rsid w:val="008940AF"/>
    <w:rsid w:val="0089477F"/>
    <w:rsid w:val="00894B1A"/>
    <w:rsid w:val="00895CB9"/>
    <w:rsid w:val="00897C2C"/>
    <w:rsid w:val="008A0DD2"/>
    <w:rsid w:val="008A0F10"/>
    <w:rsid w:val="008A406F"/>
    <w:rsid w:val="008A4812"/>
    <w:rsid w:val="008A4C56"/>
    <w:rsid w:val="008A632C"/>
    <w:rsid w:val="008A683A"/>
    <w:rsid w:val="008A7787"/>
    <w:rsid w:val="008B0204"/>
    <w:rsid w:val="008B1C17"/>
    <w:rsid w:val="008B2110"/>
    <w:rsid w:val="008B6579"/>
    <w:rsid w:val="008C1BD3"/>
    <w:rsid w:val="008C1DAC"/>
    <w:rsid w:val="008C2317"/>
    <w:rsid w:val="008C3DA7"/>
    <w:rsid w:val="008C55DF"/>
    <w:rsid w:val="008C59EC"/>
    <w:rsid w:val="008C5F13"/>
    <w:rsid w:val="008C651D"/>
    <w:rsid w:val="008C73BE"/>
    <w:rsid w:val="008C7627"/>
    <w:rsid w:val="008C7A60"/>
    <w:rsid w:val="008D009A"/>
    <w:rsid w:val="008D0149"/>
    <w:rsid w:val="008D0F7F"/>
    <w:rsid w:val="008D20C8"/>
    <w:rsid w:val="008D27A3"/>
    <w:rsid w:val="008D3F69"/>
    <w:rsid w:val="008D6242"/>
    <w:rsid w:val="008D690A"/>
    <w:rsid w:val="008E0667"/>
    <w:rsid w:val="008E0C0D"/>
    <w:rsid w:val="008E135F"/>
    <w:rsid w:val="008E15CC"/>
    <w:rsid w:val="008E26AA"/>
    <w:rsid w:val="008E26BB"/>
    <w:rsid w:val="008E28D9"/>
    <w:rsid w:val="008E308F"/>
    <w:rsid w:val="008E3333"/>
    <w:rsid w:val="008E404A"/>
    <w:rsid w:val="008E4B0A"/>
    <w:rsid w:val="008E5685"/>
    <w:rsid w:val="008E61FB"/>
    <w:rsid w:val="008E746C"/>
    <w:rsid w:val="008F0968"/>
    <w:rsid w:val="008F2DD7"/>
    <w:rsid w:val="008F3833"/>
    <w:rsid w:val="008F5034"/>
    <w:rsid w:val="008F5510"/>
    <w:rsid w:val="008F57AC"/>
    <w:rsid w:val="008F5DD6"/>
    <w:rsid w:val="008F6533"/>
    <w:rsid w:val="008F6F4E"/>
    <w:rsid w:val="008F74A3"/>
    <w:rsid w:val="008F7D20"/>
    <w:rsid w:val="00900948"/>
    <w:rsid w:val="0090103E"/>
    <w:rsid w:val="0090118D"/>
    <w:rsid w:val="00901D97"/>
    <w:rsid w:val="00901FFC"/>
    <w:rsid w:val="0090311C"/>
    <w:rsid w:val="0090401C"/>
    <w:rsid w:val="00905C5F"/>
    <w:rsid w:val="009060DF"/>
    <w:rsid w:val="009066EB"/>
    <w:rsid w:val="00911765"/>
    <w:rsid w:val="00911DE6"/>
    <w:rsid w:val="00912308"/>
    <w:rsid w:val="009131F9"/>
    <w:rsid w:val="00913DB4"/>
    <w:rsid w:val="00914FEC"/>
    <w:rsid w:val="00915A08"/>
    <w:rsid w:val="00915DE3"/>
    <w:rsid w:val="009174F5"/>
    <w:rsid w:val="009178D5"/>
    <w:rsid w:val="009221D8"/>
    <w:rsid w:val="00925002"/>
    <w:rsid w:val="00925212"/>
    <w:rsid w:val="00927117"/>
    <w:rsid w:val="00927561"/>
    <w:rsid w:val="00930D8D"/>
    <w:rsid w:val="0093182A"/>
    <w:rsid w:val="00932A2F"/>
    <w:rsid w:val="00932CB2"/>
    <w:rsid w:val="00933727"/>
    <w:rsid w:val="00935B74"/>
    <w:rsid w:val="00936ACF"/>
    <w:rsid w:val="009379FE"/>
    <w:rsid w:val="00937A56"/>
    <w:rsid w:val="00940906"/>
    <w:rsid w:val="00941277"/>
    <w:rsid w:val="00942CDC"/>
    <w:rsid w:val="0094356A"/>
    <w:rsid w:val="0094369D"/>
    <w:rsid w:val="00943A0C"/>
    <w:rsid w:val="00945E4B"/>
    <w:rsid w:val="009471CC"/>
    <w:rsid w:val="009473C9"/>
    <w:rsid w:val="009508BC"/>
    <w:rsid w:val="00951F69"/>
    <w:rsid w:val="0095328F"/>
    <w:rsid w:val="00954E94"/>
    <w:rsid w:val="00957AD1"/>
    <w:rsid w:val="00957EDE"/>
    <w:rsid w:val="00962762"/>
    <w:rsid w:val="00963055"/>
    <w:rsid w:val="0096362B"/>
    <w:rsid w:val="00963690"/>
    <w:rsid w:val="00963B32"/>
    <w:rsid w:val="00965213"/>
    <w:rsid w:val="009669EF"/>
    <w:rsid w:val="0096731B"/>
    <w:rsid w:val="009677FA"/>
    <w:rsid w:val="00967AA0"/>
    <w:rsid w:val="009700F2"/>
    <w:rsid w:val="00970B7C"/>
    <w:rsid w:val="009724E8"/>
    <w:rsid w:val="00973C21"/>
    <w:rsid w:val="009806E1"/>
    <w:rsid w:val="0098104B"/>
    <w:rsid w:val="0098140C"/>
    <w:rsid w:val="00981718"/>
    <w:rsid w:val="0098182F"/>
    <w:rsid w:val="00982B36"/>
    <w:rsid w:val="009832E3"/>
    <w:rsid w:val="00983622"/>
    <w:rsid w:val="00984C17"/>
    <w:rsid w:val="009859F6"/>
    <w:rsid w:val="00985E2F"/>
    <w:rsid w:val="00985FFB"/>
    <w:rsid w:val="009900D6"/>
    <w:rsid w:val="00990708"/>
    <w:rsid w:val="00990BD1"/>
    <w:rsid w:val="00991347"/>
    <w:rsid w:val="00991579"/>
    <w:rsid w:val="00992162"/>
    <w:rsid w:val="0099226A"/>
    <w:rsid w:val="00992DF8"/>
    <w:rsid w:val="0099322E"/>
    <w:rsid w:val="00993AB9"/>
    <w:rsid w:val="00994CDB"/>
    <w:rsid w:val="00995B47"/>
    <w:rsid w:val="009969B2"/>
    <w:rsid w:val="00996A23"/>
    <w:rsid w:val="00997DB2"/>
    <w:rsid w:val="009A1ED0"/>
    <w:rsid w:val="009A3C84"/>
    <w:rsid w:val="009A470C"/>
    <w:rsid w:val="009A4A2C"/>
    <w:rsid w:val="009A4B16"/>
    <w:rsid w:val="009A4D1B"/>
    <w:rsid w:val="009A5B1D"/>
    <w:rsid w:val="009A604F"/>
    <w:rsid w:val="009A65EA"/>
    <w:rsid w:val="009A6725"/>
    <w:rsid w:val="009A6B79"/>
    <w:rsid w:val="009A71D3"/>
    <w:rsid w:val="009A7979"/>
    <w:rsid w:val="009B1345"/>
    <w:rsid w:val="009B2F9D"/>
    <w:rsid w:val="009B4357"/>
    <w:rsid w:val="009B5187"/>
    <w:rsid w:val="009B548A"/>
    <w:rsid w:val="009B61F3"/>
    <w:rsid w:val="009B6404"/>
    <w:rsid w:val="009B6500"/>
    <w:rsid w:val="009B7B24"/>
    <w:rsid w:val="009B7C79"/>
    <w:rsid w:val="009C0213"/>
    <w:rsid w:val="009C1D97"/>
    <w:rsid w:val="009C1EA5"/>
    <w:rsid w:val="009C2D68"/>
    <w:rsid w:val="009C2EBE"/>
    <w:rsid w:val="009C384E"/>
    <w:rsid w:val="009C3C50"/>
    <w:rsid w:val="009C4007"/>
    <w:rsid w:val="009C4671"/>
    <w:rsid w:val="009C4806"/>
    <w:rsid w:val="009C4CC8"/>
    <w:rsid w:val="009C5C02"/>
    <w:rsid w:val="009C5C71"/>
    <w:rsid w:val="009C6288"/>
    <w:rsid w:val="009C629A"/>
    <w:rsid w:val="009C65CF"/>
    <w:rsid w:val="009C75B5"/>
    <w:rsid w:val="009D01E6"/>
    <w:rsid w:val="009D04DF"/>
    <w:rsid w:val="009D126F"/>
    <w:rsid w:val="009D12E7"/>
    <w:rsid w:val="009D1513"/>
    <w:rsid w:val="009D1DD2"/>
    <w:rsid w:val="009D1EA1"/>
    <w:rsid w:val="009D291E"/>
    <w:rsid w:val="009D3128"/>
    <w:rsid w:val="009D3B70"/>
    <w:rsid w:val="009D5469"/>
    <w:rsid w:val="009D54CC"/>
    <w:rsid w:val="009D5C73"/>
    <w:rsid w:val="009D6311"/>
    <w:rsid w:val="009D6F19"/>
    <w:rsid w:val="009E2977"/>
    <w:rsid w:val="009E3D10"/>
    <w:rsid w:val="009E4280"/>
    <w:rsid w:val="009E497B"/>
    <w:rsid w:val="009E4E6B"/>
    <w:rsid w:val="009E528C"/>
    <w:rsid w:val="009E55DD"/>
    <w:rsid w:val="009E5EC4"/>
    <w:rsid w:val="009E6051"/>
    <w:rsid w:val="009E7220"/>
    <w:rsid w:val="009E72DE"/>
    <w:rsid w:val="009E7966"/>
    <w:rsid w:val="009F0470"/>
    <w:rsid w:val="009F1EA9"/>
    <w:rsid w:val="009F1F9A"/>
    <w:rsid w:val="009F2E64"/>
    <w:rsid w:val="009F2F37"/>
    <w:rsid w:val="009F39F7"/>
    <w:rsid w:val="009F40F7"/>
    <w:rsid w:val="009F4109"/>
    <w:rsid w:val="009F42F2"/>
    <w:rsid w:val="009F48C8"/>
    <w:rsid w:val="009F7AF1"/>
    <w:rsid w:val="009F7E93"/>
    <w:rsid w:val="009F7F22"/>
    <w:rsid w:val="00A00145"/>
    <w:rsid w:val="00A00AB6"/>
    <w:rsid w:val="00A00EF0"/>
    <w:rsid w:val="00A0269B"/>
    <w:rsid w:val="00A04C25"/>
    <w:rsid w:val="00A04DCC"/>
    <w:rsid w:val="00A052A3"/>
    <w:rsid w:val="00A054F0"/>
    <w:rsid w:val="00A0709F"/>
    <w:rsid w:val="00A072EB"/>
    <w:rsid w:val="00A07747"/>
    <w:rsid w:val="00A07DA6"/>
    <w:rsid w:val="00A10366"/>
    <w:rsid w:val="00A11DB3"/>
    <w:rsid w:val="00A122D0"/>
    <w:rsid w:val="00A128FF"/>
    <w:rsid w:val="00A131AC"/>
    <w:rsid w:val="00A13D84"/>
    <w:rsid w:val="00A13DCD"/>
    <w:rsid w:val="00A13E30"/>
    <w:rsid w:val="00A1440B"/>
    <w:rsid w:val="00A14975"/>
    <w:rsid w:val="00A14CE0"/>
    <w:rsid w:val="00A168F8"/>
    <w:rsid w:val="00A22556"/>
    <w:rsid w:val="00A22FE7"/>
    <w:rsid w:val="00A231EB"/>
    <w:rsid w:val="00A234B0"/>
    <w:rsid w:val="00A2382E"/>
    <w:rsid w:val="00A25428"/>
    <w:rsid w:val="00A25F1A"/>
    <w:rsid w:val="00A26740"/>
    <w:rsid w:val="00A274DD"/>
    <w:rsid w:val="00A27A6E"/>
    <w:rsid w:val="00A30933"/>
    <w:rsid w:val="00A30C1A"/>
    <w:rsid w:val="00A34297"/>
    <w:rsid w:val="00A3519A"/>
    <w:rsid w:val="00A35C98"/>
    <w:rsid w:val="00A368C5"/>
    <w:rsid w:val="00A404DA"/>
    <w:rsid w:val="00A4136A"/>
    <w:rsid w:val="00A41AA3"/>
    <w:rsid w:val="00A42C76"/>
    <w:rsid w:val="00A42CD1"/>
    <w:rsid w:val="00A43071"/>
    <w:rsid w:val="00A442D7"/>
    <w:rsid w:val="00A4515B"/>
    <w:rsid w:val="00A45D38"/>
    <w:rsid w:val="00A4622B"/>
    <w:rsid w:val="00A47602"/>
    <w:rsid w:val="00A47E43"/>
    <w:rsid w:val="00A5211D"/>
    <w:rsid w:val="00A53DB5"/>
    <w:rsid w:val="00A53F70"/>
    <w:rsid w:val="00A546BF"/>
    <w:rsid w:val="00A54712"/>
    <w:rsid w:val="00A54D58"/>
    <w:rsid w:val="00A5509F"/>
    <w:rsid w:val="00A55ABE"/>
    <w:rsid w:val="00A57E45"/>
    <w:rsid w:val="00A60FAE"/>
    <w:rsid w:val="00A63534"/>
    <w:rsid w:val="00A639B3"/>
    <w:rsid w:val="00A63CAD"/>
    <w:rsid w:val="00A63ED8"/>
    <w:rsid w:val="00A64A6F"/>
    <w:rsid w:val="00A64C5C"/>
    <w:rsid w:val="00A65443"/>
    <w:rsid w:val="00A65851"/>
    <w:rsid w:val="00A65DC5"/>
    <w:rsid w:val="00A66C91"/>
    <w:rsid w:val="00A6743D"/>
    <w:rsid w:val="00A67486"/>
    <w:rsid w:val="00A7016D"/>
    <w:rsid w:val="00A7024E"/>
    <w:rsid w:val="00A713E0"/>
    <w:rsid w:val="00A719C4"/>
    <w:rsid w:val="00A71F98"/>
    <w:rsid w:val="00A72BDC"/>
    <w:rsid w:val="00A72C6D"/>
    <w:rsid w:val="00A73AC0"/>
    <w:rsid w:val="00A76FF1"/>
    <w:rsid w:val="00A77C19"/>
    <w:rsid w:val="00A77EAC"/>
    <w:rsid w:val="00A808F4"/>
    <w:rsid w:val="00A80907"/>
    <w:rsid w:val="00A80B4B"/>
    <w:rsid w:val="00A80E73"/>
    <w:rsid w:val="00A825FE"/>
    <w:rsid w:val="00A82BCC"/>
    <w:rsid w:val="00A82EDC"/>
    <w:rsid w:val="00A83214"/>
    <w:rsid w:val="00A8326C"/>
    <w:rsid w:val="00A83642"/>
    <w:rsid w:val="00A837F4"/>
    <w:rsid w:val="00A8402A"/>
    <w:rsid w:val="00A84ACD"/>
    <w:rsid w:val="00A85010"/>
    <w:rsid w:val="00A851C1"/>
    <w:rsid w:val="00A85DB5"/>
    <w:rsid w:val="00A9052E"/>
    <w:rsid w:val="00A94A65"/>
    <w:rsid w:val="00A95F91"/>
    <w:rsid w:val="00A96666"/>
    <w:rsid w:val="00AA0D4D"/>
    <w:rsid w:val="00AA321C"/>
    <w:rsid w:val="00AA3B28"/>
    <w:rsid w:val="00AA4B20"/>
    <w:rsid w:val="00AA4DD8"/>
    <w:rsid w:val="00AA5647"/>
    <w:rsid w:val="00AA5D84"/>
    <w:rsid w:val="00AA6D38"/>
    <w:rsid w:val="00AA6F83"/>
    <w:rsid w:val="00AA75E4"/>
    <w:rsid w:val="00AB0402"/>
    <w:rsid w:val="00AB29B3"/>
    <w:rsid w:val="00AB363E"/>
    <w:rsid w:val="00AB3B14"/>
    <w:rsid w:val="00AB529F"/>
    <w:rsid w:val="00AB669B"/>
    <w:rsid w:val="00AB6DD2"/>
    <w:rsid w:val="00AB73D2"/>
    <w:rsid w:val="00AB7B73"/>
    <w:rsid w:val="00AB7BF5"/>
    <w:rsid w:val="00AC0E24"/>
    <w:rsid w:val="00AC2109"/>
    <w:rsid w:val="00AC332C"/>
    <w:rsid w:val="00AC3D5A"/>
    <w:rsid w:val="00AC50BD"/>
    <w:rsid w:val="00AC68BC"/>
    <w:rsid w:val="00AC7E8D"/>
    <w:rsid w:val="00AD002D"/>
    <w:rsid w:val="00AD04F8"/>
    <w:rsid w:val="00AD0885"/>
    <w:rsid w:val="00AD16BF"/>
    <w:rsid w:val="00AD1D9C"/>
    <w:rsid w:val="00AD2457"/>
    <w:rsid w:val="00AD2849"/>
    <w:rsid w:val="00AD2E2F"/>
    <w:rsid w:val="00AD4295"/>
    <w:rsid w:val="00AD4A19"/>
    <w:rsid w:val="00AD63B6"/>
    <w:rsid w:val="00AD65F3"/>
    <w:rsid w:val="00AD7F5B"/>
    <w:rsid w:val="00AE1B5E"/>
    <w:rsid w:val="00AE1E77"/>
    <w:rsid w:val="00AE1EB2"/>
    <w:rsid w:val="00AE21BF"/>
    <w:rsid w:val="00AE23CF"/>
    <w:rsid w:val="00AE2923"/>
    <w:rsid w:val="00AE37CA"/>
    <w:rsid w:val="00AE3812"/>
    <w:rsid w:val="00AE3CAB"/>
    <w:rsid w:val="00AE3FB8"/>
    <w:rsid w:val="00AE4B0A"/>
    <w:rsid w:val="00AE5F92"/>
    <w:rsid w:val="00AF0A95"/>
    <w:rsid w:val="00AF2A59"/>
    <w:rsid w:val="00AF3226"/>
    <w:rsid w:val="00AF3862"/>
    <w:rsid w:val="00AF3FC4"/>
    <w:rsid w:val="00AF4681"/>
    <w:rsid w:val="00AF595E"/>
    <w:rsid w:val="00AF6211"/>
    <w:rsid w:val="00AF65F0"/>
    <w:rsid w:val="00AF7780"/>
    <w:rsid w:val="00AF7AF7"/>
    <w:rsid w:val="00B001BC"/>
    <w:rsid w:val="00B00609"/>
    <w:rsid w:val="00B00BA7"/>
    <w:rsid w:val="00B00CD7"/>
    <w:rsid w:val="00B018BB"/>
    <w:rsid w:val="00B02509"/>
    <w:rsid w:val="00B02F20"/>
    <w:rsid w:val="00B04150"/>
    <w:rsid w:val="00B06613"/>
    <w:rsid w:val="00B067B2"/>
    <w:rsid w:val="00B0688E"/>
    <w:rsid w:val="00B06D0C"/>
    <w:rsid w:val="00B070DA"/>
    <w:rsid w:val="00B076E2"/>
    <w:rsid w:val="00B10925"/>
    <w:rsid w:val="00B12514"/>
    <w:rsid w:val="00B1298F"/>
    <w:rsid w:val="00B13099"/>
    <w:rsid w:val="00B13268"/>
    <w:rsid w:val="00B13E86"/>
    <w:rsid w:val="00B145BF"/>
    <w:rsid w:val="00B151C2"/>
    <w:rsid w:val="00B16804"/>
    <w:rsid w:val="00B20D03"/>
    <w:rsid w:val="00B217B8"/>
    <w:rsid w:val="00B21D3C"/>
    <w:rsid w:val="00B21E1D"/>
    <w:rsid w:val="00B2360D"/>
    <w:rsid w:val="00B23E87"/>
    <w:rsid w:val="00B240D2"/>
    <w:rsid w:val="00B246A8"/>
    <w:rsid w:val="00B25F48"/>
    <w:rsid w:val="00B269C4"/>
    <w:rsid w:val="00B276F9"/>
    <w:rsid w:val="00B30662"/>
    <w:rsid w:val="00B30BA4"/>
    <w:rsid w:val="00B32BAF"/>
    <w:rsid w:val="00B32BCD"/>
    <w:rsid w:val="00B33A18"/>
    <w:rsid w:val="00B353A2"/>
    <w:rsid w:val="00B367A2"/>
    <w:rsid w:val="00B37DC5"/>
    <w:rsid w:val="00B4045C"/>
    <w:rsid w:val="00B41879"/>
    <w:rsid w:val="00B42A19"/>
    <w:rsid w:val="00B43D37"/>
    <w:rsid w:val="00B4432C"/>
    <w:rsid w:val="00B443E8"/>
    <w:rsid w:val="00B448F4"/>
    <w:rsid w:val="00B4498E"/>
    <w:rsid w:val="00B45258"/>
    <w:rsid w:val="00B45E73"/>
    <w:rsid w:val="00B463F1"/>
    <w:rsid w:val="00B46A77"/>
    <w:rsid w:val="00B46A98"/>
    <w:rsid w:val="00B47064"/>
    <w:rsid w:val="00B506BC"/>
    <w:rsid w:val="00B513C9"/>
    <w:rsid w:val="00B525DF"/>
    <w:rsid w:val="00B52BBF"/>
    <w:rsid w:val="00B55960"/>
    <w:rsid w:val="00B55C44"/>
    <w:rsid w:val="00B560F7"/>
    <w:rsid w:val="00B56B38"/>
    <w:rsid w:val="00B579C3"/>
    <w:rsid w:val="00B57AE4"/>
    <w:rsid w:val="00B61A76"/>
    <w:rsid w:val="00B6374C"/>
    <w:rsid w:val="00B63AAE"/>
    <w:rsid w:val="00B64BB8"/>
    <w:rsid w:val="00B66A59"/>
    <w:rsid w:val="00B66F42"/>
    <w:rsid w:val="00B67FD5"/>
    <w:rsid w:val="00B7001B"/>
    <w:rsid w:val="00B7080C"/>
    <w:rsid w:val="00B7083E"/>
    <w:rsid w:val="00B70E57"/>
    <w:rsid w:val="00B7123D"/>
    <w:rsid w:val="00B71996"/>
    <w:rsid w:val="00B71E4F"/>
    <w:rsid w:val="00B728F2"/>
    <w:rsid w:val="00B729EB"/>
    <w:rsid w:val="00B735DD"/>
    <w:rsid w:val="00B73A52"/>
    <w:rsid w:val="00B73DA4"/>
    <w:rsid w:val="00B747FB"/>
    <w:rsid w:val="00B7483B"/>
    <w:rsid w:val="00B74F5F"/>
    <w:rsid w:val="00B76E9E"/>
    <w:rsid w:val="00B77AC9"/>
    <w:rsid w:val="00B77D48"/>
    <w:rsid w:val="00B80515"/>
    <w:rsid w:val="00B809D7"/>
    <w:rsid w:val="00B8109C"/>
    <w:rsid w:val="00B82044"/>
    <w:rsid w:val="00B8287C"/>
    <w:rsid w:val="00B82CA4"/>
    <w:rsid w:val="00B83390"/>
    <w:rsid w:val="00B83816"/>
    <w:rsid w:val="00B84AF9"/>
    <w:rsid w:val="00B85B0F"/>
    <w:rsid w:val="00B867D8"/>
    <w:rsid w:val="00B8733B"/>
    <w:rsid w:val="00B9025D"/>
    <w:rsid w:val="00B904CD"/>
    <w:rsid w:val="00B923A1"/>
    <w:rsid w:val="00B926B3"/>
    <w:rsid w:val="00B92B7C"/>
    <w:rsid w:val="00B93212"/>
    <w:rsid w:val="00B95225"/>
    <w:rsid w:val="00B96092"/>
    <w:rsid w:val="00B9640F"/>
    <w:rsid w:val="00B96CAF"/>
    <w:rsid w:val="00B96E40"/>
    <w:rsid w:val="00B97AE0"/>
    <w:rsid w:val="00B97E38"/>
    <w:rsid w:val="00BA017C"/>
    <w:rsid w:val="00BA1014"/>
    <w:rsid w:val="00BA165D"/>
    <w:rsid w:val="00BA1A31"/>
    <w:rsid w:val="00BA5265"/>
    <w:rsid w:val="00BA59EA"/>
    <w:rsid w:val="00BA6281"/>
    <w:rsid w:val="00BA77CF"/>
    <w:rsid w:val="00BA7A1C"/>
    <w:rsid w:val="00BB16EC"/>
    <w:rsid w:val="00BB1793"/>
    <w:rsid w:val="00BB1C21"/>
    <w:rsid w:val="00BB1EBC"/>
    <w:rsid w:val="00BB34F2"/>
    <w:rsid w:val="00BB52FA"/>
    <w:rsid w:val="00BC0396"/>
    <w:rsid w:val="00BC1B3A"/>
    <w:rsid w:val="00BC1CB1"/>
    <w:rsid w:val="00BC362E"/>
    <w:rsid w:val="00BC468A"/>
    <w:rsid w:val="00BC4778"/>
    <w:rsid w:val="00BC5AF1"/>
    <w:rsid w:val="00BC6410"/>
    <w:rsid w:val="00BC6DD7"/>
    <w:rsid w:val="00BC7449"/>
    <w:rsid w:val="00BC7E7E"/>
    <w:rsid w:val="00BD041E"/>
    <w:rsid w:val="00BD1141"/>
    <w:rsid w:val="00BD1DAB"/>
    <w:rsid w:val="00BD2F72"/>
    <w:rsid w:val="00BD41AE"/>
    <w:rsid w:val="00BD4B38"/>
    <w:rsid w:val="00BD590B"/>
    <w:rsid w:val="00BD5C69"/>
    <w:rsid w:val="00BD609F"/>
    <w:rsid w:val="00BD79C2"/>
    <w:rsid w:val="00BE00CD"/>
    <w:rsid w:val="00BE1694"/>
    <w:rsid w:val="00BE1D1E"/>
    <w:rsid w:val="00BE23C8"/>
    <w:rsid w:val="00BE39D7"/>
    <w:rsid w:val="00BE4F44"/>
    <w:rsid w:val="00BE5380"/>
    <w:rsid w:val="00BE5A06"/>
    <w:rsid w:val="00BE5DDF"/>
    <w:rsid w:val="00BE6846"/>
    <w:rsid w:val="00BE696F"/>
    <w:rsid w:val="00BE7E20"/>
    <w:rsid w:val="00BF1A01"/>
    <w:rsid w:val="00BF3760"/>
    <w:rsid w:val="00BF5660"/>
    <w:rsid w:val="00BF5AA7"/>
    <w:rsid w:val="00BF7DB7"/>
    <w:rsid w:val="00C00231"/>
    <w:rsid w:val="00C00435"/>
    <w:rsid w:val="00C03DA0"/>
    <w:rsid w:val="00C049DE"/>
    <w:rsid w:val="00C054A9"/>
    <w:rsid w:val="00C06152"/>
    <w:rsid w:val="00C061C2"/>
    <w:rsid w:val="00C07297"/>
    <w:rsid w:val="00C0741C"/>
    <w:rsid w:val="00C07563"/>
    <w:rsid w:val="00C07CC0"/>
    <w:rsid w:val="00C10DEF"/>
    <w:rsid w:val="00C128B7"/>
    <w:rsid w:val="00C13A4A"/>
    <w:rsid w:val="00C14A94"/>
    <w:rsid w:val="00C14BE9"/>
    <w:rsid w:val="00C15023"/>
    <w:rsid w:val="00C153B6"/>
    <w:rsid w:val="00C15A00"/>
    <w:rsid w:val="00C15E62"/>
    <w:rsid w:val="00C15F64"/>
    <w:rsid w:val="00C15FA9"/>
    <w:rsid w:val="00C17432"/>
    <w:rsid w:val="00C17C19"/>
    <w:rsid w:val="00C20974"/>
    <w:rsid w:val="00C21403"/>
    <w:rsid w:val="00C21821"/>
    <w:rsid w:val="00C2203F"/>
    <w:rsid w:val="00C22459"/>
    <w:rsid w:val="00C226B7"/>
    <w:rsid w:val="00C22BFA"/>
    <w:rsid w:val="00C23674"/>
    <w:rsid w:val="00C2433A"/>
    <w:rsid w:val="00C2582E"/>
    <w:rsid w:val="00C25C7E"/>
    <w:rsid w:val="00C262AA"/>
    <w:rsid w:val="00C26791"/>
    <w:rsid w:val="00C26DE6"/>
    <w:rsid w:val="00C30936"/>
    <w:rsid w:val="00C30DBB"/>
    <w:rsid w:val="00C321B4"/>
    <w:rsid w:val="00C329D7"/>
    <w:rsid w:val="00C34532"/>
    <w:rsid w:val="00C34647"/>
    <w:rsid w:val="00C35189"/>
    <w:rsid w:val="00C358A3"/>
    <w:rsid w:val="00C35CD8"/>
    <w:rsid w:val="00C3675B"/>
    <w:rsid w:val="00C370BF"/>
    <w:rsid w:val="00C37314"/>
    <w:rsid w:val="00C401D8"/>
    <w:rsid w:val="00C4122D"/>
    <w:rsid w:val="00C42359"/>
    <w:rsid w:val="00C42D32"/>
    <w:rsid w:val="00C43621"/>
    <w:rsid w:val="00C43F61"/>
    <w:rsid w:val="00C44471"/>
    <w:rsid w:val="00C4685D"/>
    <w:rsid w:val="00C50481"/>
    <w:rsid w:val="00C5060F"/>
    <w:rsid w:val="00C50FB2"/>
    <w:rsid w:val="00C51D41"/>
    <w:rsid w:val="00C5290B"/>
    <w:rsid w:val="00C52ECE"/>
    <w:rsid w:val="00C56541"/>
    <w:rsid w:val="00C57130"/>
    <w:rsid w:val="00C57534"/>
    <w:rsid w:val="00C576F3"/>
    <w:rsid w:val="00C5793D"/>
    <w:rsid w:val="00C57FF5"/>
    <w:rsid w:val="00C602C3"/>
    <w:rsid w:val="00C609B6"/>
    <w:rsid w:val="00C61D28"/>
    <w:rsid w:val="00C62489"/>
    <w:rsid w:val="00C62CD3"/>
    <w:rsid w:val="00C62D2F"/>
    <w:rsid w:val="00C63818"/>
    <w:rsid w:val="00C65399"/>
    <w:rsid w:val="00C661F0"/>
    <w:rsid w:val="00C66269"/>
    <w:rsid w:val="00C66953"/>
    <w:rsid w:val="00C67F4A"/>
    <w:rsid w:val="00C70B5F"/>
    <w:rsid w:val="00C71C40"/>
    <w:rsid w:val="00C7232F"/>
    <w:rsid w:val="00C74C5A"/>
    <w:rsid w:val="00C7532A"/>
    <w:rsid w:val="00C759DA"/>
    <w:rsid w:val="00C766E6"/>
    <w:rsid w:val="00C76EE5"/>
    <w:rsid w:val="00C77E09"/>
    <w:rsid w:val="00C806A4"/>
    <w:rsid w:val="00C80856"/>
    <w:rsid w:val="00C80CEF"/>
    <w:rsid w:val="00C80F3B"/>
    <w:rsid w:val="00C81612"/>
    <w:rsid w:val="00C816C3"/>
    <w:rsid w:val="00C816CF"/>
    <w:rsid w:val="00C820DE"/>
    <w:rsid w:val="00C8297C"/>
    <w:rsid w:val="00C82E94"/>
    <w:rsid w:val="00C84407"/>
    <w:rsid w:val="00C85101"/>
    <w:rsid w:val="00C85A69"/>
    <w:rsid w:val="00C8664C"/>
    <w:rsid w:val="00C86C4C"/>
    <w:rsid w:val="00C87C61"/>
    <w:rsid w:val="00C87D62"/>
    <w:rsid w:val="00C90052"/>
    <w:rsid w:val="00C925BA"/>
    <w:rsid w:val="00C92A80"/>
    <w:rsid w:val="00C92F8D"/>
    <w:rsid w:val="00C93039"/>
    <w:rsid w:val="00C967C7"/>
    <w:rsid w:val="00C97097"/>
    <w:rsid w:val="00C973B5"/>
    <w:rsid w:val="00CA14F8"/>
    <w:rsid w:val="00CA1726"/>
    <w:rsid w:val="00CA2F28"/>
    <w:rsid w:val="00CA300B"/>
    <w:rsid w:val="00CA3148"/>
    <w:rsid w:val="00CA3299"/>
    <w:rsid w:val="00CA3314"/>
    <w:rsid w:val="00CA4A5B"/>
    <w:rsid w:val="00CA5361"/>
    <w:rsid w:val="00CA5544"/>
    <w:rsid w:val="00CA79A3"/>
    <w:rsid w:val="00CB0629"/>
    <w:rsid w:val="00CB0862"/>
    <w:rsid w:val="00CB08B2"/>
    <w:rsid w:val="00CB0FF3"/>
    <w:rsid w:val="00CB2168"/>
    <w:rsid w:val="00CB3416"/>
    <w:rsid w:val="00CB41FE"/>
    <w:rsid w:val="00CB47B1"/>
    <w:rsid w:val="00CB4843"/>
    <w:rsid w:val="00CB5652"/>
    <w:rsid w:val="00CB6276"/>
    <w:rsid w:val="00CB7628"/>
    <w:rsid w:val="00CC100E"/>
    <w:rsid w:val="00CC1182"/>
    <w:rsid w:val="00CC30FD"/>
    <w:rsid w:val="00CC42C9"/>
    <w:rsid w:val="00CC5D53"/>
    <w:rsid w:val="00CC6A27"/>
    <w:rsid w:val="00CC6CB7"/>
    <w:rsid w:val="00CC7C36"/>
    <w:rsid w:val="00CD0788"/>
    <w:rsid w:val="00CD07C7"/>
    <w:rsid w:val="00CD1785"/>
    <w:rsid w:val="00CD4F19"/>
    <w:rsid w:val="00CD601A"/>
    <w:rsid w:val="00CD6D1A"/>
    <w:rsid w:val="00CD6D52"/>
    <w:rsid w:val="00CD719D"/>
    <w:rsid w:val="00CD7692"/>
    <w:rsid w:val="00CD7B2A"/>
    <w:rsid w:val="00CE1BAA"/>
    <w:rsid w:val="00CE1DA7"/>
    <w:rsid w:val="00CE2F91"/>
    <w:rsid w:val="00CE618E"/>
    <w:rsid w:val="00CF1BD2"/>
    <w:rsid w:val="00CF261B"/>
    <w:rsid w:val="00CF27D8"/>
    <w:rsid w:val="00CF627B"/>
    <w:rsid w:val="00CF6511"/>
    <w:rsid w:val="00CF77E6"/>
    <w:rsid w:val="00CF7F1B"/>
    <w:rsid w:val="00D00774"/>
    <w:rsid w:val="00D020A9"/>
    <w:rsid w:val="00D026F1"/>
    <w:rsid w:val="00D029AD"/>
    <w:rsid w:val="00D030E1"/>
    <w:rsid w:val="00D045EF"/>
    <w:rsid w:val="00D04F18"/>
    <w:rsid w:val="00D052A9"/>
    <w:rsid w:val="00D06488"/>
    <w:rsid w:val="00D06608"/>
    <w:rsid w:val="00D0670D"/>
    <w:rsid w:val="00D071E0"/>
    <w:rsid w:val="00D07386"/>
    <w:rsid w:val="00D076A0"/>
    <w:rsid w:val="00D076F1"/>
    <w:rsid w:val="00D11A49"/>
    <w:rsid w:val="00D14AC6"/>
    <w:rsid w:val="00D14DE6"/>
    <w:rsid w:val="00D15ACB"/>
    <w:rsid w:val="00D1621E"/>
    <w:rsid w:val="00D17EF4"/>
    <w:rsid w:val="00D21A01"/>
    <w:rsid w:val="00D22120"/>
    <w:rsid w:val="00D22749"/>
    <w:rsid w:val="00D229A4"/>
    <w:rsid w:val="00D231DC"/>
    <w:rsid w:val="00D232CE"/>
    <w:rsid w:val="00D237B3"/>
    <w:rsid w:val="00D23A31"/>
    <w:rsid w:val="00D23E8E"/>
    <w:rsid w:val="00D24266"/>
    <w:rsid w:val="00D246CD"/>
    <w:rsid w:val="00D24BE8"/>
    <w:rsid w:val="00D25068"/>
    <w:rsid w:val="00D26A29"/>
    <w:rsid w:val="00D27A6B"/>
    <w:rsid w:val="00D27FF7"/>
    <w:rsid w:val="00D331D5"/>
    <w:rsid w:val="00D33211"/>
    <w:rsid w:val="00D3397A"/>
    <w:rsid w:val="00D33BD6"/>
    <w:rsid w:val="00D35430"/>
    <w:rsid w:val="00D355DB"/>
    <w:rsid w:val="00D35612"/>
    <w:rsid w:val="00D356E4"/>
    <w:rsid w:val="00D356F6"/>
    <w:rsid w:val="00D36197"/>
    <w:rsid w:val="00D37C8E"/>
    <w:rsid w:val="00D418F2"/>
    <w:rsid w:val="00D419D0"/>
    <w:rsid w:val="00D41EDA"/>
    <w:rsid w:val="00D42E1D"/>
    <w:rsid w:val="00D43E93"/>
    <w:rsid w:val="00D43FCB"/>
    <w:rsid w:val="00D45B31"/>
    <w:rsid w:val="00D46ECB"/>
    <w:rsid w:val="00D47599"/>
    <w:rsid w:val="00D5005C"/>
    <w:rsid w:val="00D508BC"/>
    <w:rsid w:val="00D51C6B"/>
    <w:rsid w:val="00D5238C"/>
    <w:rsid w:val="00D567F3"/>
    <w:rsid w:val="00D56C38"/>
    <w:rsid w:val="00D57E17"/>
    <w:rsid w:val="00D60124"/>
    <w:rsid w:val="00D61BC7"/>
    <w:rsid w:val="00D62F5C"/>
    <w:rsid w:val="00D63297"/>
    <w:rsid w:val="00D63879"/>
    <w:rsid w:val="00D63A85"/>
    <w:rsid w:val="00D63FE8"/>
    <w:rsid w:val="00D6499F"/>
    <w:rsid w:val="00D64A46"/>
    <w:rsid w:val="00D65B7C"/>
    <w:rsid w:val="00D65E4C"/>
    <w:rsid w:val="00D6642D"/>
    <w:rsid w:val="00D7006F"/>
    <w:rsid w:val="00D70394"/>
    <w:rsid w:val="00D70849"/>
    <w:rsid w:val="00D70B01"/>
    <w:rsid w:val="00D70C9A"/>
    <w:rsid w:val="00D71368"/>
    <w:rsid w:val="00D71451"/>
    <w:rsid w:val="00D72922"/>
    <w:rsid w:val="00D74216"/>
    <w:rsid w:val="00D77C51"/>
    <w:rsid w:val="00D814FC"/>
    <w:rsid w:val="00D81CA5"/>
    <w:rsid w:val="00D84681"/>
    <w:rsid w:val="00D85295"/>
    <w:rsid w:val="00D86B51"/>
    <w:rsid w:val="00D90E1B"/>
    <w:rsid w:val="00D9198D"/>
    <w:rsid w:val="00D91EDB"/>
    <w:rsid w:val="00D924B7"/>
    <w:rsid w:val="00D938F8"/>
    <w:rsid w:val="00D95571"/>
    <w:rsid w:val="00D95F21"/>
    <w:rsid w:val="00D96A44"/>
    <w:rsid w:val="00DA146A"/>
    <w:rsid w:val="00DA1515"/>
    <w:rsid w:val="00DA1558"/>
    <w:rsid w:val="00DA2C86"/>
    <w:rsid w:val="00DA370E"/>
    <w:rsid w:val="00DA3EF8"/>
    <w:rsid w:val="00DA4740"/>
    <w:rsid w:val="00DA48DF"/>
    <w:rsid w:val="00DA6663"/>
    <w:rsid w:val="00DA68E0"/>
    <w:rsid w:val="00DA6A77"/>
    <w:rsid w:val="00DA728A"/>
    <w:rsid w:val="00DA74BC"/>
    <w:rsid w:val="00DB0E84"/>
    <w:rsid w:val="00DB127E"/>
    <w:rsid w:val="00DB1AFA"/>
    <w:rsid w:val="00DB1B3A"/>
    <w:rsid w:val="00DB2269"/>
    <w:rsid w:val="00DB27EF"/>
    <w:rsid w:val="00DB30BC"/>
    <w:rsid w:val="00DB4715"/>
    <w:rsid w:val="00DB4F66"/>
    <w:rsid w:val="00DB572B"/>
    <w:rsid w:val="00DB5FAB"/>
    <w:rsid w:val="00DB6439"/>
    <w:rsid w:val="00DB68B1"/>
    <w:rsid w:val="00DB7618"/>
    <w:rsid w:val="00DB7ACE"/>
    <w:rsid w:val="00DC01A8"/>
    <w:rsid w:val="00DC317E"/>
    <w:rsid w:val="00DC33B8"/>
    <w:rsid w:val="00DC42E7"/>
    <w:rsid w:val="00DC58EC"/>
    <w:rsid w:val="00DC59DF"/>
    <w:rsid w:val="00DC6095"/>
    <w:rsid w:val="00DC6688"/>
    <w:rsid w:val="00DC79D4"/>
    <w:rsid w:val="00DD08A1"/>
    <w:rsid w:val="00DD26F9"/>
    <w:rsid w:val="00DD27B8"/>
    <w:rsid w:val="00DD2F88"/>
    <w:rsid w:val="00DD4DD5"/>
    <w:rsid w:val="00DD5056"/>
    <w:rsid w:val="00DD5746"/>
    <w:rsid w:val="00DD59F7"/>
    <w:rsid w:val="00DD635E"/>
    <w:rsid w:val="00DD691C"/>
    <w:rsid w:val="00DD7C98"/>
    <w:rsid w:val="00DE0D69"/>
    <w:rsid w:val="00DE13F2"/>
    <w:rsid w:val="00DE2411"/>
    <w:rsid w:val="00DE2E85"/>
    <w:rsid w:val="00DE45F0"/>
    <w:rsid w:val="00DE4631"/>
    <w:rsid w:val="00DE4D59"/>
    <w:rsid w:val="00DE4ED6"/>
    <w:rsid w:val="00DE558A"/>
    <w:rsid w:val="00DE5AED"/>
    <w:rsid w:val="00DF0133"/>
    <w:rsid w:val="00DF0F89"/>
    <w:rsid w:val="00DF12EF"/>
    <w:rsid w:val="00DF1C99"/>
    <w:rsid w:val="00DF1FE1"/>
    <w:rsid w:val="00DF27D8"/>
    <w:rsid w:val="00DF27DD"/>
    <w:rsid w:val="00DF2D25"/>
    <w:rsid w:val="00DF3389"/>
    <w:rsid w:val="00DF50D7"/>
    <w:rsid w:val="00DF79B9"/>
    <w:rsid w:val="00E01929"/>
    <w:rsid w:val="00E01D6D"/>
    <w:rsid w:val="00E01E60"/>
    <w:rsid w:val="00E02920"/>
    <w:rsid w:val="00E02B5C"/>
    <w:rsid w:val="00E044EC"/>
    <w:rsid w:val="00E047C6"/>
    <w:rsid w:val="00E04A23"/>
    <w:rsid w:val="00E050A3"/>
    <w:rsid w:val="00E05157"/>
    <w:rsid w:val="00E0616C"/>
    <w:rsid w:val="00E0779C"/>
    <w:rsid w:val="00E0780F"/>
    <w:rsid w:val="00E078E8"/>
    <w:rsid w:val="00E07CC2"/>
    <w:rsid w:val="00E1173C"/>
    <w:rsid w:val="00E13629"/>
    <w:rsid w:val="00E13D2C"/>
    <w:rsid w:val="00E13FAF"/>
    <w:rsid w:val="00E1550E"/>
    <w:rsid w:val="00E157F1"/>
    <w:rsid w:val="00E16BF6"/>
    <w:rsid w:val="00E17417"/>
    <w:rsid w:val="00E17478"/>
    <w:rsid w:val="00E17590"/>
    <w:rsid w:val="00E175FC"/>
    <w:rsid w:val="00E17722"/>
    <w:rsid w:val="00E17F5B"/>
    <w:rsid w:val="00E201D2"/>
    <w:rsid w:val="00E204B1"/>
    <w:rsid w:val="00E2067D"/>
    <w:rsid w:val="00E20BD3"/>
    <w:rsid w:val="00E22D53"/>
    <w:rsid w:val="00E243DD"/>
    <w:rsid w:val="00E2561A"/>
    <w:rsid w:val="00E25795"/>
    <w:rsid w:val="00E30AA2"/>
    <w:rsid w:val="00E31F23"/>
    <w:rsid w:val="00E33E23"/>
    <w:rsid w:val="00E343D4"/>
    <w:rsid w:val="00E343E2"/>
    <w:rsid w:val="00E3484A"/>
    <w:rsid w:val="00E353B7"/>
    <w:rsid w:val="00E35512"/>
    <w:rsid w:val="00E36631"/>
    <w:rsid w:val="00E37450"/>
    <w:rsid w:val="00E375CC"/>
    <w:rsid w:val="00E37C08"/>
    <w:rsid w:val="00E42963"/>
    <w:rsid w:val="00E42CAB"/>
    <w:rsid w:val="00E42DA6"/>
    <w:rsid w:val="00E42E5A"/>
    <w:rsid w:val="00E4320B"/>
    <w:rsid w:val="00E432FC"/>
    <w:rsid w:val="00E43453"/>
    <w:rsid w:val="00E438A2"/>
    <w:rsid w:val="00E43B5B"/>
    <w:rsid w:val="00E446D4"/>
    <w:rsid w:val="00E453B7"/>
    <w:rsid w:val="00E4561F"/>
    <w:rsid w:val="00E464D3"/>
    <w:rsid w:val="00E46CA3"/>
    <w:rsid w:val="00E46D9C"/>
    <w:rsid w:val="00E47087"/>
    <w:rsid w:val="00E47BF1"/>
    <w:rsid w:val="00E501FB"/>
    <w:rsid w:val="00E51AE7"/>
    <w:rsid w:val="00E52CE7"/>
    <w:rsid w:val="00E53715"/>
    <w:rsid w:val="00E54BCB"/>
    <w:rsid w:val="00E559D1"/>
    <w:rsid w:val="00E55F08"/>
    <w:rsid w:val="00E56ED5"/>
    <w:rsid w:val="00E5703F"/>
    <w:rsid w:val="00E57509"/>
    <w:rsid w:val="00E57767"/>
    <w:rsid w:val="00E615D4"/>
    <w:rsid w:val="00E62857"/>
    <w:rsid w:val="00E62E9C"/>
    <w:rsid w:val="00E63419"/>
    <w:rsid w:val="00E649B5"/>
    <w:rsid w:val="00E6513A"/>
    <w:rsid w:val="00E65596"/>
    <w:rsid w:val="00E658C5"/>
    <w:rsid w:val="00E6797F"/>
    <w:rsid w:val="00E7327B"/>
    <w:rsid w:val="00E7337A"/>
    <w:rsid w:val="00E73D96"/>
    <w:rsid w:val="00E75AF2"/>
    <w:rsid w:val="00E76252"/>
    <w:rsid w:val="00E77167"/>
    <w:rsid w:val="00E77173"/>
    <w:rsid w:val="00E77CBE"/>
    <w:rsid w:val="00E77F5A"/>
    <w:rsid w:val="00E804A8"/>
    <w:rsid w:val="00E81EA0"/>
    <w:rsid w:val="00E8274B"/>
    <w:rsid w:val="00E83B86"/>
    <w:rsid w:val="00E847B1"/>
    <w:rsid w:val="00E84D9D"/>
    <w:rsid w:val="00E850E7"/>
    <w:rsid w:val="00E8563A"/>
    <w:rsid w:val="00E87515"/>
    <w:rsid w:val="00E90110"/>
    <w:rsid w:val="00E90E7A"/>
    <w:rsid w:val="00E91CA9"/>
    <w:rsid w:val="00E91E68"/>
    <w:rsid w:val="00E929D6"/>
    <w:rsid w:val="00E92BE9"/>
    <w:rsid w:val="00E93013"/>
    <w:rsid w:val="00E93744"/>
    <w:rsid w:val="00E94240"/>
    <w:rsid w:val="00E9429A"/>
    <w:rsid w:val="00E94AAD"/>
    <w:rsid w:val="00E94AF8"/>
    <w:rsid w:val="00E9617D"/>
    <w:rsid w:val="00E96CD9"/>
    <w:rsid w:val="00E971F3"/>
    <w:rsid w:val="00E975BC"/>
    <w:rsid w:val="00E9775C"/>
    <w:rsid w:val="00E97B5D"/>
    <w:rsid w:val="00EA3469"/>
    <w:rsid w:val="00EA3652"/>
    <w:rsid w:val="00EA3AC5"/>
    <w:rsid w:val="00EA4E25"/>
    <w:rsid w:val="00EA544C"/>
    <w:rsid w:val="00EB13D4"/>
    <w:rsid w:val="00EB2297"/>
    <w:rsid w:val="00EB2530"/>
    <w:rsid w:val="00EB2EEF"/>
    <w:rsid w:val="00EB4DA5"/>
    <w:rsid w:val="00EB5959"/>
    <w:rsid w:val="00EB5A9B"/>
    <w:rsid w:val="00EB5C1F"/>
    <w:rsid w:val="00EB6301"/>
    <w:rsid w:val="00EB6B86"/>
    <w:rsid w:val="00EB746B"/>
    <w:rsid w:val="00EC1634"/>
    <w:rsid w:val="00EC2EA9"/>
    <w:rsid w:val="00EC3347"/>
    <w:rsid w:val="00EC335E"/>
    <w:rsid w:val="00EC34D7"/>
    <w:rsid w:val="00EC415D"/>
    <w:rsid w:val="00EC4557"/>
    <w:rsid w:val="00EC46D6"/>
    <w:rsid w:val="00EC4BF9"/>
    <w:rsid w:val="00EC5801"/>
    <w:rsid w:val="00EC58A1"/>
    <w:rsid w:val="00EC594B"/>
    <w:rsid w:val="00EC6A41"/>
    <w:rsid w:val="00EC6E30"/>
    <w:rsid w:val="00EC7C2D"/>
    <w:rsid w:val="00ED039F"/>
    <w:rsid w:val="00ED1E97"/>
    <w:rsid w:val="00ED25FC"/>
    <w:rsid w:val="00ED376F"/>
    <w:rsid w:val="00ED47B7"/>
    <w:rsid w:val="00ED4EF0"/>
    <w:rsid w:val="00ED5E9F"/>
    <w:rsid w:val="00ED64FB"/>
    <w:rsid w:val="00ED7DED"/>
    <w:rsid w:val="00EE008D"/>
    <w:rsid w:val="00EE04EB"/>
    <w:rsid w:val="00EE18B7"/>
    <w:rsid w:val="00EE23B0"/>
    <w:rsid w:val="00EE3E84"/>
    <w:rsid w:val="00EE7701"/>
    <w:rsid w:val="00EF0EE4"/>
    <w:rsid w:val="00EF128A"/>
    <w:rsid w:val="00EF22AC"/>
    <w:rsid w:val="00EF2E73"/>
    <w:rsid w:val="00EF38F9"/>
    <w:rsid w:val="00EF39AD"/>
    <w:rsid w:val="00EF4B9C"/>
    <w:rsid w:val="00EF50F0"/>
    <w:rsid w:val="00EF5BA7"/>
    <w:rsid w:val="00EF60D0"/>
    <w:rsid w:val="00EF688C"/>
    <w:rsid w:val="00EF6C00"/>
    <w:rsid w:val="00F01EAC"/>
    <w:rsid w:val="00F01F96"/>
    <w:rsid w:val="00F023C0"/>
    <w:rsid w:val="00F04440"/>
    <w:rsid w:val="00F07C46"/>
    <w:rsid w:val="00F10CBE"/>
    <w:rsid w:val="00F11E0D"/>
    <w:rsid w:val="00F135AA"/>
    <w:rsid w:val="00F13775"/>
    <w:rsid w:val="00F148C3"/>
    <w:rsid w:val="00F14A61"/>
    <w:rsid w:val="00F14F87"/>
    <w:rsid w:val="00F1579A"/>
    <w:rsid w:val="00F15E4B"/>
    <w:rsid w:val="00F1760A"/>
    <w:rsid w:val="00F17EC6"/>
    <w:rsid w:val="00F206F1"/>
    <w:rsid w:val="00F20D9A"/>
    <w:rsid w:val="00F21C21"/>
    <w:rsid w:val="00F2248F"/>
    <w:rsid w:val="00F23132"/>
    <w:rsid w:val="00F24002"/>
    <w:rsid w:val="00F25871"/>
    <w:rsid w:val="00F2597F"/>
    <w:rsid w:val="00F25ADC"/>
    <w:rsid w:val="00F2604A"/>
    <w:rsid w:val="00F2616E"/>
    <w:rsid w:val="00F26770"/>
    <w:rsid w:val="00F26B68"/>
    <w:rsid w:val="00F27879"/>
    <w:rsid w:val="00F27934"/>
    <w:rsid w:val="00F3074A"/>
    <w:rsid w:val="00F3082E"/>
    <w:rsid w:val="00F30BDC"/>
    <w:rsid w:val="00F313AD"/>
    <w:rsid w:val="00F31567"/>
    <w:rsid w:val="00F35AD0"/>
    <w:rsid w:val="00F35F6F"/>
    <w:rsid w:val="00F37643"/>
    <w:rsid w:val="00F3782D"/>
    <w:rsid w:val="00F40439"/>
    <w:rsid w:val="00F40C39"/>
    <w:rsid w:val="00F4111A"/>
    <w:rsid w:val="00F41A13"/>
    <w:rsid w:val="00F421E6"/>
    <w:rsid w:val="00F42A5C"/>
    <w:rsid w:val="00F42CB0"/>
    <w:rsid w:val="00F44AA5"/>
    <w:rsid w:val="00F44B0D"/>
    <w:rsid w:val="00F46D90"/>
    <w:rsid w:val="00F470B9"/>
    <w:rsid w:val="00F47CD3"/>
    <w:rsid w:val="00F525E3"/>
    <w:rsid w:val="00F52A42"/>
    <w:rsid w:val="00F52B55"/>
    <w:rsid w:val="00F52F7F"/>
    <w:rsid w:val="00F538DB"/>
    <w:rsid w:val="00F54893"/>
    <w:rsid w:val="00F55032"/>
    <w:rsid w:val="00F559C5"/>
    <w:rsid w:val="00F567E8"/>
    <w:rsid w:val="00F56AEA"/>
    <w:rsid w:val="00F601D3"/>
    <w:rsid w:val="00F620CD"/>
    <w:rsid w:val="00F62109"/>
    <w:rsid w:val="00F6245B"/>
    <w:rsid w:val="00F637DC"/>
    <w:rsid w:val="00F65588"/>
    <w:rsid w:val="00F666ED"/>
    <w:rsid w:val="00F66C63"/>
    <w:rsid w:val="00F66CA9"/>
    <w:rsid w:val="00F70E93"/>
    <w:rsid w:val="00F71446"/>
    <w:rsid w:val="00F71CD8"/>
    <w:rsid w:val="00F72431"/>
    <w:rsid w:val="00F72E88"/>
    <w:rsid w:val="00F73F76"/>
    <w:rsid w:val="00F746D8"/>
    <w:rsid w:val="00F76A45"/>
    <w:rsid w:val="00F76E17"/>
    <w:rsid w:val="00F76E62"/>
    <w:rsid w:val="00F776E0"/>
    <w:rsid w:val="00F816E7"/>
    <w:rsid w:val="00F81E2C"/>
    <w:rsid w:val="00F82B7D"/>
    <w:rsid w:val="00F831D4"/>
    <w:rsid w:val="00F83597"/>
    <w:rsid w:val="00F846BA"/>
    <w:rsid w:val="00F8536C"/>
    <w:rsid w:val="00F85C13"/>
    <w:rsid w:val="00F85FCD"/>
    <w:rsid w:val="00F86B9B"/>
    <w:rsid w:val="00F872C6"/>
    <w:rsid w:val="00F878CA"/>
    <w:rsid w:val="00F87C16"/>
    <w:rsid w:val="00F87EBA"/>
    <w:rsid w:val="00F91258"/>
    <w:rsid w:val="00F91354"/>
    <w:rsid w:val="00F91C06"/>
    <w:rsid w:val="00F9404A"/>
    <w:rsid w:val="00F94777"/>
    <w:rsid w:val="00F94A0E"/>
    <w:rsid w:val="00F94B19"/>
    <w:rsid w:val="00F94F88"/>
    <w:rsid w:val="00F95489"/>
    <w:rsid w:val="00F955CA"/>
    <w:rsid w:val="00F96D21"/>
    <w:rsid w:val="00FA0218"/>
    <w:rsid w:val="00FA067E"/>
    <w:rsid w:val="00FA08A4"/>
    <w:rsid w:val="00FA0D21"/>
    <w:rsid w:val="00FA1385"/>
    <w:rsid w:val="00FA1E6A"/>
    <w:rsid w:val="00FA3A56"/>
    <w:rsid w:val="00FA3F10"/>
    <w:rsid w:val="00FA4770"/>
    <w:rsid w:val="00FA4D42"/>
    <w:rsid w:val="00FA6C16"/>
    <w:rsid w:val="00FA6F52"/>
    <w:rsid w:val="00FB053E"/>
    <w:rsid w:val="00FB1049"/>
    <w:rsid w:val="00FB1377"/>
    <w:rsid w:val="00FB1AC0"/>
    <w:rsid w:val="00FB1B4E"/>
    <w:rsid w:val="00FB241B"/>
    <w:rsid w:val="00FB25A5"/>
    <w:rsid w:val="00FB25F8"/>
    <w:rsid w:val="00FB287E"/>
    <w:rsid w:val="00FB4A8A"/>
    <w:rsid w:val="00FB6740"/>
    <w:rsid w:val="00FC02F9"/>
    <w:rsid w:val="00FC33EB"/>
    <w:rsid w:val="00FC3E29"/>
    <w:rsid w:val="00FC4704"/>
    <w:rsid w:val="00FC5680"/>
    <w:rsid w:val="00FC5A1F"/>
    <w:rsid w:val="00FC5C15"/>
    <w:rsid w:val="00FC7144"/>
    <w:rsid w:val="00FC774F"/>
    <w:rsid w:val="00FC7DBC"/>
    <w:rsid w:val="00FD0591"/>
    <w:rsid w:val="00FD2364"/>
    <w:rsid w:val="00FD5587"/>
    <w:rsid w:val="00FD5B31"/>
    <w:rsid w:val="00FD61A4"/>
    <w:rsid w:val="00FD73A2"/>
    <w:rsid w:val="00FD7429"/>
    <w:rsid w:val="00FD756F"/>
    <w:rsid w:val="00FD7624"/>
    <w:rsid w:val="00FE06A8"/>
    <w:rsid w:val="00FE0A45"/>
    <w:rsid w:val="00FE0C06"/>
    <w:rsid w:val="00FE0D7F"/>
    <w:rsid w:val="00FE1BA2"/>
    <w:rsid w:val="00FE249C"/>
    <w:rsid w:val="00FE2FF6"/>
    <w:rsid w:val="00FE48C7"/>
    <w:rsid w:val="00FE6AFA"/>
    <w:rsid w:val="00FE6EAC"/>
    <w:rsid w:val="00FE751F"/>
    <w:rsid w:val="00FE771B"/>
    <w:rsid w:val="00FF010E"/>
    <w:rsid w:val="00FF0577"/>
    <w:rsid w:val="00FF067C"/>
    <w:rsid w:val="00FF0936"/>
    <w:rsid w:val="00FF1746"/>
    <w:rsid w:val="00FF1774"/>
    <w:rsid w:val="00FF2086"/>
    <w:rsid w:val="00FF3B4D"/>
    <w:rsid w:val="00FF3C7F"/>
    <w:rsid w:val="00FF5017"/>
    <w:rsid w:val="00FF56A5"/>
    <w:rsid w:val="00FF6450"/>
    <w:rsid w:val="00FF6C3A"/>
    <w:rsid w:val="00FF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5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357"/>
    <w:rPr>
      <w:rFonts w:ascii="Arial" w:hAnsi="Arial"/>
      <w:sz w:val="22"/>
      <w:lang w:eastAsia="en-US"/>
    </w:rPr>
  </w:style>
  <w:style w:type="paragraph" w:styleId="Heading1">
    <w:name w:val="heading 1"/>
    <w:basedOn w:val="Normal"/>
    <w:next w:val="Normal"/>
    <w:link w:val="Heading1Char"/>
    <w:uiPriority w:val="99"/>
    <w:qFormat/>
    <w:rsid w:val="005F139C"/>
    <w:pPr>
      <w:keepNext/>
      <w:widowControl w:val="0"/>
      <w:numPr>
        <w:numId w:val="6"/>
      </w:numPr>
      <w:spacing w:after="300"/>
      <w:outlineLvl w:val="0"/>
    </w:pPr>
    <w:rPr>
      <w:b/>
      <w:color w:val="000000"/>
      <w:sz w:val="30"/>
    </w:rPr>
  </w:style>
  <w:style w:type="paragraph" w:styleId="Heading2">
    <w:name w:val="heading 2"/>
    <w:basedOn w:val="Heading1"/>
    <w:next w:val="Normal"/>
    <w:link w:val="Heading2Char"/>
    <w:uiPriority w:val="99"/>
    <w:qFormat/>
    <w:rsid w:val="00AF7AF7"/>
    <w:pPr>
      <w:numPr>
        <w:ilvl w:val="1"/>
      </w:numPr>
      <w:spacing w:after="260"/>
      <w:outlineLvl w:val="1"/>
    </w:pPr>
    <w:rPr>
      <w:sz w:val="26"/>
    </w:rPr>
  </w:style>
  <w:style w:type="paragraph" w:styleId="Heading3">
    <w:name w:val="heading 3"/>
    <w:basedOn w:val="Normal"/>
    <w:link w:val="Heading3Char"/>
    <w:uiPriority w:val="99"/>
    <w:qFormat/>
    <w:rsid w:val="00573D6C"/>
    <w:pPr>
      <w:widowControl w:val="0"/>
      <w:numPr>
        <w:ilvl w:val="2"/>
        <w:numId w:val="6"/>
      </w:numPr>
      <w:tabs>
        <w:tab w:val="left" w:pos="851"/>
      </w:tabs>
      <w:spacing w:after="220"/>
      <w:jc w:val="both"/>
      <w:outlineLvl w:val="2"/>
    </w:pPr>
    <w:rPr>
      <w:color w:val="000000"/>
      <w:szCs w:val="22"/>
    </w:rPr>
  </w:style>
  <w:style w:type="paragraph" w:styleId="Heading4">
    <w:name w:val="heading 4"/>
    <w:basedOn w:val="Normal"/>
    <w:next w:val="Normal"/>
    <w:qFormat/>
    <w:pPr>
      <w:keepNext/>
      <w:widowControl w:val="0"/>
      <w:ind w:left="-11"/>
      <w:outlineLvl w:val="3"/>
    </w:pPr>
    <w:rPr>
      <w:color w:val="000000"/>
      <w:sz w:val="24"/>
    </w:rPr>
  </w:style>
  <w:style w:type="paragraph" w:styleId="Heading5">
    <w:name w:val="heading 5"/>
    <w:basedOn w:val="Normal"/>
    <w:next w:val="Normal"/>
    <w:qFormat/>
    <w:pPr>
      <w:keepNext/>
      <w:widowControl w:val="0"/>
      <w:jc w:val="center"/>
      <w:outlineLvl w:val="4"/>
    </w:pPr>
    <w:rPr>
      <w:color w:val="000000"/>
      <w:sz w:val="24"/>
      <w:u w:val="single"/>
    </w:rPr>
  </w:style>
  <w:style w:type="paragraph" w:styleId="Heading6">
    <w:name w:val="heading 6"/>
    <w:basedOn w:val="Normal"/>
    <w:next w:val="Normal"/>
    <w:qFormat/>
    <w:pPr>
      <w:keepNext/>
      <w:widowControl w:val="0"/>
      <w:tabs>
        <w:tab w:val="left" w:pos="51"/>
        <w:tab w:val="left" w:pos="720"/>
        <w:tab w:val="left" w:pos="1440"/>
        <w:tab w:val="left" w:pos="2160"/>
        <w:tab w:val="left" w:pos="2880"/>
        <w:tab w:val="left" w:pos="3600"/>
        <w:tab w:val="left" w:pos="4320"/>
        <w:tab w:val="left" w:pos="5040"/>
        <w:tab w:val="left" w:pos="5760"/>
        <w:tab w:val="left" w:pos="6480"/>
        <w:tab w:val="left" w:pos="7200"/>
        <w:tab w:val="left" w:pos="7920"/>
        <w:tab w:val="right" w:pos="8652"/>
      </w:tabs>
      <w:ind w:left="51" w:hanging="51"/>
      <w:outlineLvl w:val="5"/>
    </w:pPr>
    <w:rPr>
      <w:b/>
      <w:color w:val="000000"/>
      <w:sz w:val="24"/>
      <w:u w:val="single"/>
    </w:rPr>
  </w:style>
  <w:style w:type="paragraph" w:styleId="Heading7">
    <w:name w:val="heading 7"/>
    <w:basedOn w:val="Normal"/>
    <w:next w:val="Normal"/>
    <w:qFormat/>
    <w:pPr>
      <w:keepNext/>
      <w:widowControl w:val="0"/>
      <w:tabs>
        <w:tab w:val="left" w:pos="720"/>
        <w:tab w:val="left" w:pos="1062"/>
        <w:tab w:val="left" w:pos="1440"/>
        <w:tab w:val="left" w:pos="2160"/>
        <w:tab w:val="left" w:pos="2880"/>
        <w:tab w:val="left" w:pos="3600"/>
        <w:tab w:val="left" w:pos="4320"/>
        <w:tab w:val="left" w:pos="5040"/>
        <w:tab w:val="left" w:pos="5760"/>
        <w:tab w:val="left" w:pos="6480"/>
        <w:tab w:val="left" w:pos="6847"/>
        <w:tab w:val="left" w:pos="7200"/>
        <w:tab w:val="left" w:pos="7920"/>
        <w:tab w:val="right" w:pos="8652"/>
      </w:tabs>
      <w:outlineLvl w:val="6"/>
    </w:pPr>
    <w:rPr>
      <w:color w:val="000000"/>
      <w:sz w:val="24"/>
    </w:rPr>
  </w:style>
  <w:style w:type="paragraph" w:styleId="Heading8">
    <w:name w:val="heading 8"/>
    <w:basedOn w:val="Normal"/>
    <w:next w:val="Normal"/>
    <w:qFormat/>
    <w:pPr>
      <w:keepNext/>
      <w:widowControl w:val="0"/>
      <w:outlineLvl w:val="7"/>
    </w:pPr>
    <w:rPr>
      <w:b/>
      <w:color w:val="000000"/>
    </w:rPr>
  </w:style>
  <w:style w:type="paragraph" w:styleId="Heading9">
    <w:name w:val="heading 9"/>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sz w:val="24"/>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color w:val="000000"/>
      <w:sz w:val="24"/>
    </w:rPr>
  </w:style>
  <w:style w:type="paragraph" w:styleId="BodyText3">
    <w:name w:val="Body Text 3"/>
    <w:basedOn w:val="Normal"/>
    <w:rPr>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851"/>
        <w:tab w:val="left" w:pos="1062"/>
        <w:tab w:val="left" w:pos="1440"/>
        <w:tab w:val="left" w:pos="2160"/>
        <w:tab w:val="left" w:pos="2880"/>
        <w:tab w:val="left" w:pos="3600"/>
        <w:tab w:val="left" w:pos="4320"/>
        <w:tab w:val="left" w:pos="5040"/>
        <w:tab w:val="left" w:pos="5760"/>
        <w:tab w:val="left" w:pos="6480"/>
        <w:tab w:val="left" w:pos="6847"/>
        <w:tab w:val="left" w:pos="7200"/>
        <w:tab w:val="left" w:pos="7920"/>
        <w:tab w:val="right" w:pos="8652"/>
      </w:tabs>
      <w:ind w:left="720" w:hanging="720"/>
    </w:pPr>
    <w:rPr>
      <w:color w:val="000000"/>
      <w:sz w:val="24"/>
    </w:rPr>
  </w:style>
  <w:style w:type="paragraph" w:styleId="BodyTextIndent2">
    <w:name w:val="Body Text Indent 2"/>
    <w:basedOn w:val="Normal"/>
    <w:pPr>
      <w:widowControl w:val="0"/>
      <w:tabs>
        <w:tab w:val="left" w:pos="1418"/>
        <w:tab w:val="left" w:pos="2880"/>
        <w:tab w:val="left" w:pos="3600"/>
        <w:tab w:val="left" w:pos="4320"/>
        <w:tab w:val="left" w:pos="5040"/>
        <w:tab w:val="left" w:pos="5760"/>
        <w:tab w:val="left" w:pos="6480"/>
        <w:tab w:val="left" w:pos="7200"/>
        <w:tab w:val="left" w:pos="7920"/>
        <w:tab w:val="left" w:pos="8640"/>
      </w:tabs>
      <w:ind w:left="2160" w:hanging="2160"/>
    </w:pPr>
    <w:rPr>
      <w:color w:val="000000"/>
      <w:sz w:val="24"/>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b/>
      <w:color w:val="000000"/>
      <w:sz w:val="24"/>
    </w:rPr>
  </w:style>
  <w:style w:type="paragraph" w:customStyle="1" w:styleId="numerallist">
    <w:name w:val="numeral list"/>
    <w:basedOn w:val="Normal"/>
    <w:uiPriority w:val="99"/>
    <w:pPr>
      <w:numPr>
        <w:numId w:val="1"/>
      </w:numPr>
      <w:spacing w:before="240"/>
      <w:outlineLvl w:val="0"/>
    </w:pPr>
    <w:rPr>
      <w:kern w:val="28"/>
      <w:sz w:val="24"/>
    </w:rPr>
  </w:style>
  <w:style w:type="paragraph" w:customStyle="1" w:styleId="BodySingle">
    <w:name w:val="Body Single"/>
    <w:rPr>
      <w:color w:val="000000"/>
      <w:sz w:val="24"/>
      <w:lang w:val="en-US" w:eastAsia="en-US"/>
    </w:rPr>
  </w:style>
  <w:style w:type="paragraph" w:styleId="Caption">
    <w:name w:val="caption"/>
    <w:basedOn w:val="Normal"/>
    <w:next w:val="Normal"/>
    <w:qFormat/>
    <w:pPr>
      <w:framePr w:w="8742" w:h="13919" w:vSpace="144" w:wrap="auto" w:vAnchor="page" w:hAnchor="page" w:x="1588" w:y="1521"/>
      <w:widowControl w:val="0"/>
      <w:ind w:left="144" w:right="144"/>
      <w:jc w:val="center"/>
    </w:pPr>
    <w:rPr>
      <w:b/>
      <w:color w:val="000000"/>
      <w:sz w:val="44"/>
    </w:rPr>
  </w:style>
  <w:style w:type="paragraph" w:styleId="BlockText">
    <w:name w:val="Block Text"/>
    <w:basedOn w:val="Normal"/>
    <w:pPr>
      <w:framePr w:w="8742" w:h="13919" w:vSpace="144" w:wrap="auto" w:vAnchor="page" w:hAnchor="page" w:x="1588" w:y="1521"/>
      <w:widowControl w:val="0"/>
      <w:ind w:left="144" w:right="144"/>
      <w:jc w:val="center"/>
    </w:pPr>
    <w:rPr>
      <w:b/>
      <w:i/>
      <w:color w:val="000000"/>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HeadingTwo">
    <w:name w:val="Heading Two"/>
    <w:basedOn w:val="Normal"/>
    <w:next w:val="Normal"/>
    <w:pPr>
      <w:keepNext/>
      <w:overflowPunct w:val="0"/>
      <w:autoSpaceDE w:val="0"/>
      <w:autoSpaceDN w:val="0"/>
      <w:adjustRightInd w:val="0"/>
      <w:spacing w:before="40" w:after="240"/>
      <w:textAlignment w:val="baseline"/>
    </w:pPr>
    <w:rPr>
      <w:b/>
      <w:sz w:val="24"/>
    </w:rPr>
  </w:style>
  <w:style w:type="paragraph" w:customStyle="1" w:styleId="HeadingThree">
    <w:name w:val="Heading Three"/>
    <w:basedOn w:val="Normal"/>
    <w:next w:val="Normal"/>
    <w:pPr>
      <w:keepNext/>
      <w:overflowPunct w:val="0"/>
      <w:autoSpaceDE w:val="0"/>
      <w:autoSpaceDN w:val="0"/>
      <w:adjustRightInd w:val="0"/>
      <w:spacing w:before="40" w:after="240"/>
      <w:jc w:val="both"/>
      <w:textAlignment w:val="baseline"/>
    </w:pPr>
    <w:rPr>
      <w:i/>
      <w:sz w:val="24"/>
    </w:rPr>
  </w:style>
  <w:style w:type="paragraph" w:customStyle="1" w:styleId="NormalBullet">
    <w:name w:val="NormalBullet"/>
    <w:basedOn w:val="Normal"/>
    <w:pPr>
      <w:numPr>
        <w:numId w:val="2"/>
      </w:numPr>
      <w:overflowPunct w:val="0"/>
      <w:autoSpaceDE w:val="0"/>
      <w:autoSpaceDN w:val="0"/>
      <w:adjustRightInd w:val="0"/>
      <w:spacing w:after="240"/>
      <w:textAlignment w:val="baseline"/>
    </w:pPr>
    <w:rPr>
      <w:sz w:val="24"/>
    </w:rPr>
  </w:style>
  <w:style w:type="paragraph" w:customStyle="1" w:styleId="LongSingleBorderLandscape">
    <w:name w:val="LongSingleBorderLandscape"/>
    <w:basedOn w:val="Normal"/>
    <w:next w:val="Normal"/>
    <w:pPr>
      <w:numPr>
        <w:ilvl w:val="12"/>
      </w:numPr>
      <w:tabs>
        <w:tab w:val="decimal" w:pos="7655"/>
        <w:tab w:val="decimal" w:pos="8789"/>
        <w:tab w:val="decimal" w:pos="9923"/>
        <w:tab w:val="decimal" w:pos="11057"/>
        <w:tab w:val="decimal" w:pos="12191"/>
        <w:tab w:val="decimal" w:pos="13325"/>
      </w:tabs>
      <w:overflowPunct w:val="0"/>
      <w:autoSpaceDE w:val="0"/>
      <w:autoSpaceDN w:val="0"/>
      <w:adjustRightInd w:val="0"/>
      <w:spacing w:before="20" w:line="240" w:lineRule="atLeast"/>
      <w:jc w:val="both"/>
      <w:textAlignment w:val="baseline"/>
    </w:pPr>
  </w:style>
  <w:style w:type="paragraph" w:styleId="ListBullet">
    <w:name w:val="List Bullet"/>
    <w:basedOn w:val="Normal"/>
    <w:rsid w:val="001E2196"/>
    <w:pPr>
      <w:numPr>
        <w:numId w:val="3"/>
      </w:numPr>
      <w:spacing w:before="240"/>
    </w:pPr>
    <w:rPr>
      <w:lang w:eastAsia="en-GB"/>
    </w:rPr>
  </w:style>
  <w:style w:type="paragraph" w:customStyle="1" w:styleId="BulletB5">
    <w:name w:val="Bullet B5"/>
    <w:basedOn w:val="Normal"/>
    <w:rsid w:val="00F1579A"/>
    <w:pPr>
      <w:widowControl w:val="0"/>
      <w:numPr>
        <w:numId w:val="4"/>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8958"/>
      </w:tabs>
    </w:pPr>
    <w:rPr>
      <w:snapToGrid w:val="0"/>
      <w:color w:val="000000"/>
      <w:sz w:val="24"/>
    </w:rPr>
  </w:style>
  <w:style w:type="paragraph" w:customStyle="1" w:styleId="LetterList">
    <w:name w:val="Letter List"/>
    <w:basedOn w:val="Heading1"/>
    <w:rsid w:val="00CC42C9"/>
    <w:pPr>
      <w:keepNext w:val="0"/>
      <w:widowControl/>
      <w:numPr>
        <w:numId w:val="5"/>
      </w:numPr>
      <w:spacing w:before="240"/>
    </w:pPr>
    <w:rPr>
      <w:color w:val="auto"/>
      <w:kern w:val="28"/>
      <w:lang w:eastAsia="en-GB"/>
    </w:rPr>
  </w:style>
  <w:style w:type="paragraph" w:styleId="List">
    <w:name w:val="List"/>
    <w:basedOn w:val="Normal"/>
    <w:rsid w:val="00CC42C9"/>
    <w:pPr>
      <w:ind w:left="283" w:hanging="283"/>
    </w:pPr>
    <w:rPr>
      <w:sz w:val="24"/>
      <w:lang w:eastAsia="en-GB"/>
    </w:rPr>
  </w:style>
  <w:style w:type="paragraph" w:customStyle="1" w:styleId="NumberList">
    <w:name w:val="Number List"/>
    <w:basedOn w:val="LetterList"/>
    <w:rsid w:val="00CC42C9"/>
    <w:pPr>
      <w:numPr>
        <w:numId w:val="0"/>
      </w:numPr>
      <w:tabs>
        <w:tab w:val="num" w:pos="1440"/>
      </w:tabs>
      <w:ind w:left="1440" w:hanging="720"/>
    </w:pPr>
  </w:style>
  <w:style w:type="paragraph" w:styleId="BalloonText">
    <w:name w:val="Balloon Text"/>
    <w:basedOn w:val="Normal"/>
    <w:semiHidden/>
    <w:rsid w:val="00CC42C9"/>
    <w:rPr>
      <w:rFonts w:ascii="Tahoma" w:hAnsi="Tahoma" w:cs="Tahoma"/>
      <w:sz w:val="16"/>
      <w:szCs w:val="16"/>
      <w:lang w:eastAsia="en-GB"/>
    </w:rPr>
  </w:style>
  <w:style w:type="paragraph" w:styleId="TOC1">
    <w:name w:val="toc 1"/>
    <w:basedOn w:val="Normal"/>
    <w:next w:val="Normal"/>
    <w:autoRedefine/>
    <w:uiPriority w:val="39"/>
    <w:rsid w:val="00862809"/>
    <w:pPr>
      <w:tabs>
        <w:tab w:val="left" w:pos="567"/>
        <w:tab w:val="right" w:leader="dot" w:pos="9613"/>
      </w:tabs>
      <w:spacing w:line="340" w:lineRule="atLeast"/>
      <w:ind w:left="567" w:hanging="567"/>
    </w:pPr>
    <w:rPr>
      <w:rFonts w:cs="Arial"/>
      <w:b/>
      <w:bCs/>
      <w:caps/>
      <w:sz w:val="24"/>
      <w:szCs w:val="24"/>
      <w:lang w:eastAsia="en-GB"/>
    </w:rPr>
  </w:style>
  <w:style w:type="paragraph" w:styleId="TOC2">
    <w:name w:val="toc 2"/>
    <w:basedOn w:val="Normal"/>
    <w:next w:val="Normal"/>
    <w:autoRedefine/>
    <w:semiHidden/>
    <w:rsid w:val="00CC42C9"/>
    <w:pPr>
      <w:spacing w:before="240"/>
    </w:pPr>
    <w:rPr>
      <w:b/>
      <w:bCs/>
      <w:lang w:eastAsia="en-GB"/>
    </w:rPr>
  </w:style>
  <w:style w:type="paragraph" w:styleId="TOC3">
    <w:name w:val="toc 3"/>
    <w:basedOn w:val="Normal"/>
    <w:next w:val="Normal"/>
    <w:autoRedefine/>
    <w:semiHidden/>
    <w:rsid w:val="00CC42C9"/>
    <w:pPr>
      <w:ind w:left="240"/>
    </w:pPr>
    <w:rPr>
      <w:lang w:eastAsia="en-GB"/>
    </w:rPr>
  </w:style>
  <w:style w:type="paragraph" w:styleId="TOC4">
    <w:name w:val="toc 4"/>
    <w:basedOn w:val="Normal"/>
    <w:next w:val="Normal"/>
    <w:autoRedefine/>
    <w:semiHidden/>
    <w:rsid w:val="00CC42C9"/>
    <w:pPr>
      <w:ind w:left="480"/>
    </w:pPr>
    <w:rPr>
      <w:lang w:eastAsia="en-GB"/>
    </w:rPr>
  </w:style>
  <w:style w:type="paragraph" w:styleId="TOC5">
    <w:name w:val="toc 5"/>
    <w:basedOn w:val="Normal"/>
    <w:next w:val="Normal"/>
    <w:autoRedefine/>
    <w:semiHidden/>
    <w:rsid w:val="00CC42C9"/>
    <w:pPr>
      <w:ind w:left="720"/>
    </w:pPr>
    <w:rPr>
      <w:lang w:eastAsia="en-GB"/>
    </w:rPr>
  </w:style>
  <w:style w:type="paragraph" w:styleId="TOC6">
    <w:name w:val="toc 6"/>
    <w:basedOn w:val="Normal"/>
    <w:next w:val="Normal"/>
    <w:autoRedefine/>
    <w:semiHidden/>
    <w:rsid w:val="00CC42C9"/>
    <w:pPr>
      <w:ind w:left="960"/>
    </w:pPr>
    <w:rPr>
      <w:lang w:eastAsia="en-GB"/>
    </w:rPr>
  </w:style>
  <w:style w:type="paragraph" w:styleId="TOC7">
    <w:name w:val="toc 7"/>
    <w:basedOn w:val="Normal"/>
    <w:next w:val="Normal"/>
    <w:autoRedefine/>
    <w:semiHidden/>
    <w:rsid w:val="00CC42C9"/>
    <w:pPr>
      <w:ind w:left="1200"/>
    </w:pPr>
    <w:rPr>
      <w:lang w:eastAsia="en-GB"/>
    </w:rPr>
  </w:style>
  <w:style w:type="paragraph" w:styleId="TOC8">
    <w:name w:val="toc 8"/>
    <w:basedOn w:val="Normal"/>
    <w:next w:val="Normal"/>
    <w:autoRedefine/>
    <w:semiHidden/>
    <w:rsid w:val="00CC42C9"/>
    <w:pPr>
      <w:ind w:left="1440"/>
    </w:pPr>
    <w:rPr>
      <w:lang w:eastAsia="en-GB"/>
    </w:rPr>
  </w:style>
  <w:style w:type="paragraph" w:styleId="TOC9">
    <w:name w:val="toc 9"/>
    <w:basedOn w:val="Normal"/>
    <w:next w:val="Normal"/>
    <w:autoRedefine/>
    <w:semiHidden/>
    <w:rsid w:val="00CC42C9"/>
    <w:pPr>
      <w:ind w:left="1680"/>
    </w:pPr>
    <w:rPr>
      <w:lang w:eastAsia="en-GB"/>
    </w:rPr>
  </w:style>
  <w:style w:type="paragraph" w:customStyle="1" w:styleId="NormalArial">
    <w:name w:val="Normal + Arial"/>
    <w:basedOn w:val="Heading2"/>
    <w:rsid w:val="00CC42C9"/>
    <w:pPr>
      <w:keepNext w:val="0"/>
      <w:widowControl/>
      <w:tabs>
        <w:tab w:val="num" w:pos="720"/>
      </w:tabs>
      <w:spacing w:before="240"/>
      <w:ind w:left="720" w:hanging="720"/>
    </w:pPr>
    <w:rPr>
      <w:color w:val="auto"/>
      <w:lang w:eastAsia="en-GB"/>
    </w:rPr>
  </w:style>
  <w:style w:type="numbering" w:styleId="1ai">
    <w:name w:val="Outline List 1"/>
    <w:basedOn w:val="NoList"/>
    <w:rsid w:val="00CC42C9"/>
  </w:style>
  <w:style w:type="paragraph" w:customStyle="1" w:styleId="xl22">
    <w:name w:val="xl22"/>
    <w:basedOn w:val="Normal"/>
    <w:rsid w:val="00CC42C9"/>
    <w:pPr>
      <w:pBdr>
        <w:top w:val="single" w:sz="4" w:space="0" w:color="auto"/>
        <w:left w:val="single" w:sz="4" w:space="0" w:color="auto"/>
        <w:right w:val="single" w:sz="4" w:space="0" w:color="auto"/>
      </w:pBdr>
      <w:shd w:val="clear" w:color="auto" w:fill="C0C0C0"/>
      <w:spacing w:before="100" w:beforeAutospacing="1" w:after="100" w:afterAutospacing="1"/>
      <w:textAlignment w:val="top"/>
    </w:pPr>
    <w:rPr>
      <w:rFonts w:ascii="Verdana" w:hAnsi="Verdana"/>
      <w:b/>
      <w:bCs/>
      <w:color w:val="000000"/>
      <w:sz w:val="28"/>
      <w:szCs w:val="28"/>
      <w:lang w:eastAsia="en-GB"/>
    </w:rPr>
  </w:style>
  <w:style w:type="paragraph" w:customStyle="1" w:styleId="xl23">
    <w:name w:val="xl23"/>
    <w:basedOn w:val="Normal"/>
    <w:rsid w:val="00CC42C9"/>
    <w:pPr>
      <w:pBdr>
        <w:top w:val="single" w:sz="4" w:space="0" w:color="auto"/>
        <w:left w:val="single" w:sz="4" w:space="0" w:color="auto"/>
        <w:right w:val="single" w:sz="4" w:space="0" w:color="auto"/>
      </w:pBdr>
      <w:shd w:val="clear" w:color="auto" w:fill="C0C0C0"/>
      <w:spacing w:before="100" w:beforeAutospacing="1" w:after="100" w:afterAutospacing="1"/>
    </w:pPr>
    <w:rPr>
      <w:b/>
      <w:bCs/>
      <w:color w:val="000000"/>
      <w:sz w:val="28"/>
      <w:szCs w:val="28"/>
      <w:lang w:eastAsia="en-GB"/>
    </w:rPr>
  </w:style>
  <w:style w:type="paragraph" w:customStyle="1" w:styleId="xl24">
    <w:name w:val="xl24"/>
    <w:basedOn w:val="Normal"/>
    <w:rsid w:val="00CC42C9"/>
    <w:pPr>
      <w:pBdr>
        <w:top w:val="single" w:sz="4" w:space="0" w:color="auto"/>
        <w:left w:val="single" w:sz="4" w:space="0" w:color="auto"/>
        <w:right w:val="single" w:sz="8" w:space="0" w:color="auto"/>
      </w:pBdr>
      <w:shd w:val="clear" w:color="auto" w:fill="C0C0C0"/>
      <w:spacing w:before="100" w:beforeAutospacing="1" w:after="100" w:afterAutospacing="1"/>
    </w:pPr>
    <w:rPr>
      <w:b/>
      <w:bCs/>
      <w:color w:val="000000"/>
      <w:sz w:val="28"/>
      <w:szCs w:val="28"/>
      <w:lang w:eastAsia="en-GB"/>
    </w:rPr>
  </w:style>
  <w:style w:type="paragraph" w:customStyle="1" w:styleId="xl25">
    <w:name w:val="xl25"/>
    <w:basedOn w:val="Normal"/>
    <w:rsid w:val="00CC42C9"/>
    <w:pPr>
      <w:pBdr>
        <w:top w:val="single" w:sz="8" w:space="0" w:color="auto"/>
        <w:left w:val="single" w:sz="4" w:space="0" w:color="auto"/>
      </w:pBdr>
      <w:shd w:val="clear" w:color="auto" w:fill="C0C0C0"/>
      <w:spacing w:before="100" w:beforeAutospacing="1" w:after="100" w:afterAutospacing="1"/>
    </w:pPr>
    <w:rPr>
      <w:rFonts w:cs="Arial"/>
      <w:b/>
      <w:bCs/>
      <w:color w:val="000000"/>
      <w:sz w:val="28"/>
      <w:szCs w:val="28"/>
      <w:lang w:eastAsia="en-GB"/>
    </w:rPr>
  </w:style>
  <w:style w:type="paragraph" w:customStyle="1" w:styleId="xl26">
    <w:name w:val="xl26"/>
    <w:basedOn w:val="Normal"/>
    <w:rsid w:val="00CC42C9"/>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cs="Arial"/>
      <w:b/>
      <w:bCs/>
      <w:color w:val="333399"/>
      <w:sz w:val="28"/>
      <w:szCs w:val="28"/>
      <w:lang w:eastAsia="en-GB"/>
    </w:rPr>
  </w:style>
  <w:style w:type="paragraph" w:customStyle="1" w:styleId="xl27">
    <w:name w:val="xl27"/>
    <w:basedOn w:val="Normal"/>
    <w:rsid w:val="00CC42C9"/>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28">
    <w:name w:val="xl28"/>
    <w:basedOn w:val="Normal"/>
    <w:rsid w:val="00CC42C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en-GB"/>
    </w:rPr>
  </w:style>
  <w:style w:type="paragraph" w:customStyle="1" w:styleId="xl29">
    <w:name w:val="xl29"/>
    <w:basedOn w:val="Normal"/>
    <w:rsid w:val="00CC42C9"/>
    <w:pPr>
      <w:pBdr>
        <w:top w:val="single" w:sz="8" w:space="0" w:color="auto"/>
        <w:left w:val="single" w:sz="4" w:space="0" w:color="auto"/>
        <w:bottom w:val="single" w:sz="4" w:space="0" w:color="auto"/>
      </w:pBdr>
      <w:spacing w:before="100" w:beforeAutospacing="1" w:after="100" w:afterAutospacing="1"/>
    </w:pPr>
    <w:rPr>
      <w:color w:val="000000"/>
      <w:sz w:val="24"/>
      <w:szCs w:val="24"/>
      <w:lang w:eastAsia="en-GB"/>
    </w:rPr>
  </w:style>
  <w:style w:type="paragraph" w:customStyle="1" w:styleId="xl30">
    <w:name w:val="xl30"/>
    <w:basedOn w:val="Normal"/>
    <w:rsid w:val="00CC42C9"/>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31">
    <w:name w:val="xl31"/>
    <w:basedOn w:val="Normal"/>
    <w:rsid w:val="00CC42C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32">
    <w:name w:val="xl32"/>
    <w:basedOn w:val="Normal"/>
    <w:rsid w:val="00CC42C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33">
    <w:name w:val="xl33"/>
    <w:basedOn w:val="Normal"/>
    <w:rsid w:val="00CC42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eastAsia="en-GB"/>
    </w:rPr>
  </w:style>
  <w:style w:type="paragraph" w:customStyle="1" w:styleId="xl34">
    <w:name w:val="xl34"/>
    <w:basedOn w:val="Normal"/>
    <w:rsid w:val="00CC42C9"/>
    <w:pPr>
      <w:pBdr>
        <w:top w:val="single" w:sz="4" w:space="0" w:color="auto"/>
        <w:left w:val="single" w:sz="4" w:space="0" w:color="auto"/>
        <w:bottom w:val="single" w:sz="4" w:space="0" w:color="auto"/>
      </w:pBdr>
      <w:spacing w:before="100" w:beforeAutospacing="1" w:after="100" w:afterAutospacing="1"/>
    </w:pPr>
    <w:rPr>
      <w:color w:val="000000"/>
      <w:sz w:val="24"/>
      <w:szCs w:val="24"/>
      <w:lang w:eastAsia="en-GB"/>
    </w:rPr>
  </w:style>
  <w:style w:type="paragraph" w:customStyle="1" w:styleId="xl35">
    <w:name w:val="xl35"/>
    <w:basedOn w:val="Normal"/>
    <w:rsid w:val="00CC42C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36">
    <w:name w:val="xl36"/>
    <w:basedOn w:val="Normal"/>
    <w:rsid w:val="00CC4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lang w:eastAsia="en-GB"/>
    </w:rPr>
  </w:style>
  <w:style w:type="paragraph" w:customStyle="1" w:styleId="xl37">
    <w:name w:val="xl37"/>
    <w:basedOn w:val="Normal"/>
    <w:rsid w:val="00CC42C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Verdana" w:hAnsi="Verdana"/>
      <w:b/>
      <w:bCs/>
      <w:color w:val="FF0000"/>
      <w:sz w:val="16"/>
      <w:szCs w:val="16"/>
      <w:lang w:eastAsia="en-GB"/>
    </w:rPr>
  </w:style>
  <w:style w:type="paragraph" w:customStyle="1" w:styleId="xl38">
    <w:name w:val="xl38"/>
    <w:basedOn w:val="Normal"/>
    <w:rsid w:val="00CC4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color w:val="000000"/>
      <w:sz w:val="24"/>
      <w:szCs w:val="24"/>
      <w:lang w:eastAsia="en-GB"/>
    </w:rPr>
  </w:style>
  <w:style w:type="paragraph" w:customStyle="1" w:styleId="xl39">
    <w:name w:val="xl39"/>
    <w:basedOn w:val="Normal"/>
    <w:rsid w:val="00CC42C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Verdana" w:hAnsi="Verdana"/>
      <w:b/>
      <w:bCs/>
      <w:color w:val="FF0000"/>
      <w:sz w:val="24"/>
      <w:szCs w:val="24"/>
      <w:lang w:eastAsia="en-GB"/>
    </w:rPr>
  </w:style>
  <w:style w:type="paragraph" w:customStyle="1" w:styleId="xl40">
    <w:name w:val="xl40"/>
    <w:basedOn w:val="Normal"/>
    <w:rsid w:val="00CC42C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Verdana" w:hAnsi="Verdana"/>
      <w:sz w:val="24"/>
      <w:szCs w:val="24"/>
      <w:lang w:eastAsia="en-GB"/>
    </w:rPr>
  </w:style>
  <w:style w:type="paragraph" w:customStyle="1" w:styleId="xl41">
    <w:name w:val="xl41"/>
    <w:basedOn w:val="Normal"/>
    <w:rsid w:val="00CC4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Arial"/>
      <w:b/>
      <w:bCs/>
      <w:color w:val="FF0000"/>
      <w:sz w:val="24"/>
      <w:szCs w:val="24"/>
      <w:lang w:eastAsia="en-GB"/>
    </w:rPr>
  </w:style>
  <w:style w:type="paragraph" w:customStyle="1" w:styleId="xl42">
    <w:name w:val="xl42"/>
    <w:basedOn w:val="Normal"/>
    <w:rsid w:val="00CC4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FF0000"/>
      <w:sz w:val="24"/>
      <w:szCs w:val="24"/>
      <w:lang w:eastAsia="en-GB"/>
    </w:rPr>
  </w:style>
  <w:style w:type="paragraph" w:customStyle="1" w:styleId="xl43">
    <w:name w:val="xl43"/>
    <w:basedOn w:val="Normal"/>
    <w:rsid w:val="00CC42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 w:val="24"/>
      <w:szCs w:val="24"/>
      <w:lang w:eastAsia="en-GB"/>
    </w:rPr>
  </w:style>
  <w:style w:type="paragraph" w:customStyle="1" w:styleId="xl44">
    <w:name w:val="xl44"/>
    <w:basedOn w:val="Normal"/>
    <w:rsid w:val="00CC42C9"/>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45">
    <w:name w:val="xl45"/>
    <w:basedOn w:val="Normal"/>
    <w:rsid w:val="00CC42C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lang w:eastAsia="en-GB"/>
    </w:rPr>
  </w:style>
  <w:style w:type="paragraph" w:customStyle="1" w:styleId="xl46">
    <w:name w:val="xl46"/>
    <w:basedOn w:val="Normal"/>
    <w:rsid w:val="00CC42C9"/>
    <w:pPr>
      <w:pBdr>
        <w:top w:val="single" w:sz="4" w:space="0" w:color="auto"/>
        <w:left w:val="single" w:sz="4" w:space="0" w:color="auto"/>
        <w:bottom w:val="single" w:sz="8" w:space="0" w:color="auto"/>
      </w:pBdr>
      <w:spacing w:before="100" w:beforeAutospacing="1" w:after="100" w:afterAutospacing="1"/>
    </w:pPr>
    <w:rPr>
      <w:color w:val="000000"/>
      <w:sz w:val="24"/>
      <w:szCs w:val="24"/>
      <w:lang w:eastAsia="en-GB"/>
    </w:rPr>
  </w:style>
  <w:style w:type="paragraph" w:customStyle="1" w:styleId="xl47">
    <w:name w:val="xl47"/>
    <w:basedOn w:val="Normal"/>
    <w:rsid w:val="00CC42C9"/>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Verdana" w:hAnsi="Verdana"/>
      <w:color w:val="000000"/>
      <w:sz w:val="16"/>
      <w:szCs w:val="16"/>
      <w:lang w:eastAsia="en-GB"/>
    </w:rPr>
  </w:style>
  <w:style w:type="paragraph" w:customStyle="1" w:styleId="xl48">
    <w:name w:val="xl48"/>
    <w:basedOn w:val="Normal"/>
    <w:rsid w:val="00CC42C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lang w:eastAsia="en-GB"/>
    </w:rPr>
  </w:style>
  <w:style w:type="paragraph" w:styleId="BodyTextFirstIndent2">
    <w:name w:val="Body Text First Indent 2"/>
    <w:basedOn w:val="BodyTextIndent"/>
    <w:rsid w:val="00CC42C9"/>
    <w:pPr>
      <w:widowControl/>
      <w:tabs>
        <w:tab w:val="clear" w:pos="851"/>
        <w:tab w:val="clear" w:pos="1062"/>
        <w:tab w:val="clear" w:pos="1440"/>
        <w:tab w:val="clear" w:pos="2160"/>
        <w:tab w:val="clear" w:pos="2880"/>
        <w:tab w:val="clear" w:pos="3600"/>
        <w:tab w:val="clear" w:pos="4320"/>
        <w:tab w:val="clear" w:pos="5040"/>
        <w:tab w:val="clear" w:pos="5760"/>
        <w:tab w:val="clear" w:pos="6480"/>
        <w:tab w:val="clear" w:pos="6847"/>
        <w:tab w:val="clear" w:pos="7200"/>
        <w:tab w:val="clear" w:pos="7920"/>
        <w:tab w:val="clear" w:pos="8652"/>
      </w:tabs>
      <w:spacing w:after="120"/>
      <w:ind w:left="283" w:firstLine="210"/>
    </w:pPr>
    <w:rPr>
      <w:color w:val="auto"/>
      <w:lang w:eastAsia="en-GB"/>
    </w:rPr>
  </w:style>
  <w:style w:type="table" w:styleId="TableGrid">
    <w:name w:val="Table Grid"/>
    <w:basedOn w:val="TableNormal"/>
    <w:rsid w:val="002F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22D0"/>
    <w:pPr>
      <w:shd w:val="clear" w:color="auto" w:fill="000080"/>
    </w:pPr>
    <w:rPr>
      <w:rFonts w:ascii="Tahoma" w:hAnsi="Tahoma" w:cs="Tahoma"/>
      <w:sz w:val="20"/>
    </w:rPr>
  </w:style>
  <w:style w:type="paragraph" w:styleId="CommentSubject">
    <w:name w:val="annotation subject"/>
    <w:basedOn w:val="CommentText"/>
    <w:next w:val="CommentText"/>
    <w:semiHidden/>
    <w:rsid w:val="00000B4E"/>
    <w:rPr>
      <w:b/>
      <w:bCs/>
      <w:sz w:val="20"/>
    </w:rPr>
  </w:style>
  <w:style w:type="character" w:styleId="LineNumber">
    <w:name w:val="line number"/>
    <w:basedOn w:val="DefaultParagraphFont"/>
    <w:rsid w:val="00202F0D"/>
  </w:style>
  <w:style w:type="paragraph" w:styleId="ListParagraph">
    <w:name w:val="List Paragraph"/>
    <w:basedOn w:val="Normal"/>
    <w:uiPriority w:val="34"/>
    <w:qFormat/>
    <w:rsid w:val="009D5C73"/>
    <w:pPr>
      <w:ind w:left="720"/>
    </w:pPr>
  </w:style>
  <w:style w:type="paragraph" w:styleId="Revision">
    <w:name w:val="Revision"/>
    <w:hidden/>
    <w:uiPriority w:val="99"/>
    <w:semiHidden/>
    <w:rsid w:val="002F597E"/>
    <w:rPr>
      <w:rFonts w:ascii="Arial" w:hAnsi="Arial"/>
      <w:sz w:val="22"/>
      <w:lang w:eastAsia="en-US"/>
    </w:rPr>
  </w:style>
  <w:style w:type="paragraph" w:styleId="FootnoteText">
    <w:name w:val="footnote text"/>
    <w:basedOn w:val="Normal"/>
    <w:link w:val="FootnoteTextChar"/>
    <w:rsid w:val="008F7D20"/>
    <w:rPr>
      <w:sz w:val="20"/>
    </w:rPr>
  </w:style>
  <w:style w:type="character" w:customStyle="1" w:styleId="FootnoteTextChar">
    <w:name w:val="Footnote Text Char"/>
    <w:link w:val="FootnoteText"/>
    <w:rsid w:val="008F7D20"/>
    <w:rPr>
      <w:rFonts w:ascii="Arial" w:hAnsi="Arial"/>
      <w:lang w:eastAsia="en-US"/>
    </w:rPr>
  </w:style>
  <w:style w:type="character" w:styleId="FootnoteReference">
    <w:name w:val="footnote reference"/>
    <w:rsid w:val="008F7D20"/>
    <w:rPr>
      <w:vertAlign w:val="superscript"/>
    </w:rPr>
  </w:style>
  <w:style w:type="paragraph" w:customStyle="1" w:styleId="Default">
    <w:name w:val="Default"/>
    <w:rsid w:val="00A47E43"/>
    <w:pPr>
      <w:autoSpaceDE w:val="0"/>
      <w:autoSpaceDN w:val="0"/>
      <w:adjustRightInd w:val="0"/>
    </w:pPr>
    <w:rPr>
      <w:rFonts w:ascii="Arial" w:hAnsi="Arial" w:cs="Arial"/>
      <w:color w:val="000000"/>
      <w:sz w:val="24"/>
      <w:szCs w:val="24"/>
    </w:rPr>
  </w:style>
  <w:style w:type="character" w:customStyle="1" w:styleId="Heading3Char">
    <w:name w:val="Heading 3 Char"/>
    <w:link w:val="Heading3"/>
    <w:uiPriority w:val="99"/>
    <w:rsid w:val="00F2616E"/>
    <w:rPr>
      <w:rFonts w:ascii="Arial" w:hAnsi="Arial"/>
      <w:color w:val="000000"/>
      <w:sz w:val="22"/>
      <w:szCs w:val="22"/>
      <w:lang w:eastAsia="en-US"/>
    </w:rPr>
  </w:style>
  <w:style w:type="character" w:customStyle="1" w:styleId="Heading1Char">
    <w:name w:val="Heading 1 Char"/>
    <w:link w:val="Heading1"/>
    <w:uiPriority w:val="99"/>
    <w:rsid w:val="003778E6"/>
    <w:rPr>
      <w:rFonts w:ascii="Arial" w:hAnsi="Arial"/>
      <w:b/>
      <w:color w:val="000000"/>
      <w:sz w:val="30"/>
      <w:lang w:eastAsia="en-US"/>
    </w:rPr>
  </w:style>
  <w:style w:type="character" w:customStyle="1" w:styleId="Heading2Char">
    <w:name w:val="Heading 2 Char"/>
    <w:link w:val="Heading2"/>
    <w:uiPriority w:val="99"/>
    <w:rsid w:val="003778E6"/>
    <w:rPr>
      <w:rFonts w:ascii="Arial" w:hAnsi="Arial"/>
      <w:b/>
      <w:color w:val="000000"/>
      <w:sz w:val="26"/>
      <w:lang w:eastAsia="en-US"/>
    </w:rPr>
  </w:style>
  <w:style w:type="character" w:customStyle="1" w:styleId="FooterChar">
    <w:name w:val="Footer Char"/>
    <w:link w:val="Footer"/>
    <w:uiPriority w:val="99"/>
    <w:rsid w:val="00B9025D"/>
    <w:rPr>
      <w:rFonts w:ascii="Arial" w:hAnsi="Arial"/>
      <w:sz w:val="22"/>
      <w:lang w:eastAsia="en-US"/>
    </w:rPr>
  </w:style>
  <w:style w:type="character" w:styleId="Strong">
    <w:name w:val="Strong"/>
    <w:uiPriority w:val="22"/>
    <w:qFormat/>
    <w:rsid w:val="00C06152"/>
    <w:rPr>
      <w:b/>
      <w:bCs/>
    </w:rPr>
  </w:style>
  <w:style w:type="paragraph" w:styleId="NoSpacing">
    <w:name w:val="No Spacing"/>
    <w:uiPriority w:val="1"/>
    <w:qFormat/>
    <w:rsid w:val="00007A88"/>
    <w:rPr>
      <w:rFonts w:ascii="Arial" w:hAnsi="Arial"/>
      <w:sz w:val="22"/>
      <w:lang w:eastAsia="en-US"/>
    </w:rPr>
  </w:style>
  <w:style w:type="character" w:styleId="UnresolvedMention">
    <w:name w:val="Unresolved Mention"/>
    <w:basedOn w:val="DefaultParagraphFont"/>
    <w:uiPriority w:val="99"/>
    <w:semiHidden/>
    <w:unhideWhenUsed/>
    <w:rsid w:val="000A25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359">
      <w:bodyDiv w:val="1"/>
      <w:marLeft w:val="0"/>
      <w:marRight w:val="0"/>
      <w:marTop w:val="0"/>
      <w:marBottom w:val="0"/>
      <w:divBdr>
        <w:top w:val="none" w:sz="0" w:space="0" w:color="auto"/>
        <w:left w:val="none" w:sz="0" w:space="0" w:color="auto"/>
        <w:bottom w:val="none" w:sz="0" w:space="0" w:color="auto"/>
        <w:right w:val="none" w:sz="0" w:space="0" w:color="auto"/>
      </w:divBdr>
    </w:div>
    <w:div w:id="12853212">
      <w:bodyDiv w:val="1"/>
      <w:marLeft w:val="0"/>
      <w:marRight w:val="0"/>
      <w:marTop w:val="0"/>
      <w:marBottom w:val="0"/>
      <w:divBdr>
        <w:top w:val="none" w:sz="0" w:space="0" w:color="auto"/>
        <w:left w:val="none" w:sz="0" w:space="0" w:color="auto"/>
        <w:bottom w:val="none" w:sz="0" w:space="0" w:color="auto"/>
        <w:right w:val="none" w:sz="0" w:space="0" w:color="auto"/>
      </w:divBdr>
    </w:div>
    <w:div w:id="225723783">
      <w:bodyDiv w:val="1"/>
      <w:marLeft w:val="0"/>
      <w:marRight w:val="0"/>
      <w:marTop w:val="0"/>
      <w:marBottom w:val="0"/>
      <w:divBdr>
        <w:top w:val="none" w:sz="0" w:space="0" w:color="auto"/>
        <w:left w:val="none" w:sz="0" w:space="0" w:color="auto"/>
        <w:bottom w:val="none" w:sz="0" w:space="0" w:color="auto"/>
        <w:right w:val="none" w:sz="0" w:space="0" w:color="auto"/>
      </w:divBdr>
    </w:div>
    <w:div w:id="227307696">
      <w:bodyDiv w:val="1"/>
      <w:marLeft w:val="0"/>
      <w:marRight w:val="0"/>
      <w:marTop w:val="0"/>
      <w:marBottom w:val="0"/>
      <w:divBdr>
        <w:top w:val="none" w:sz="0" w:space="0" w:color="auto"/>
        <w:left w:val="none" w:sz="0" w:space="0" w:color="auto"/>
        <w:bottom w:val="none" w:sz="0" w:space="0" w:color="auto"/>
        <w:right w:val="none" w:sz="0" w:space="0" w:color="auto"/>
      </w:divBdr>
    </w:div>
    <w:div w:id="250626044">
      <w:bodyDiv w:val="1"/>
      <w:marLeft w:val="0"/>
      <w:marRight w:val="0"/>
      <w:marTop w:val="0"/>
      <w:marBottom w:val="0"/>
      <w:divBdr>
        <w:top w:val="none" w:sz="0" w:space="0" w:color="auto"/>
        <w:left w:val="none" w:sz="0" w:space="0" w:color="auto"/>
        <w:bottom w:val="none" w:sz="0" w:space="0" w:color="auto"/>
        <w:right w:val="none" w:sz="0" w:space="0" w:color="auto"/>
      </w:divBdr>
    </w:div>
    <w:div w:id="255485647">
      <w:bodyDiv w:val="1"/>
      <w:marLeft w:val="0"/>
      <w:marRight w:val="0"/>
      <w:marTop w:val="0"/>
      <w:marBottom w:val="0"/>
      <w:divBdr>
        <w:top w:val="none" w:sz="0" w:space="0" w:color="auto"/>
        <w:left w:val="none" w:sz="0" w:space="0" w:color="auto"/>
        <w:bottom w:val="none" w:sz="0" w:space="0" w:color="auto"/>
        <w:right w:val="none" w:sz="0" w:space="0" w:color="auto"/>
      </w:divBdr>
    </w:div>
    <w:div w:id="287399880">
      <w:bodyDiv w:val="1"/>
      <w:marLeft w:val="0"/>
      <w:marRight w:val="0"/>
      <w:marTop w:val="0"/>
      <w:marBottom w:val="0"/>
      <w:divBdr>
        <w:top w:val="none" w:sz="0" w:space="0" w:color="auto"/>
        <w:left w:val="none" w:sz="0" w:space="0" w:color="auto"/>
        <w:bottom w:val="none" w:sz="0" w:space="0" w:color="auto"/>
        <w:right w:val="none" w:sz="0" w:space="0" w:color="auto"/>
      </w:divBdr>
    </w:div>
    <w:div w:id="325088294">
      <w:bodyDiv w:val="1"/>
      <w:marLeft w:val="0"/>
      <w:marRight w:val="0"/>
      <w:marTop w:val="0"/>
      <w:marBottom w:val="0"/>
      <w:divBdr>
        <w:top w:val="none" w:sz="0" w:space="0" w:color="auto"/>
        <w:left w:val="none" w:sz="0" w:space="0" w:color="auto"/>
        <w:bottom w:val="none" w:sz="0" w:space="0" w:color="auto"/>
        <w:right w:val="none" w:sz="0" w:space="0" w:color="auto"/>
      </w:divBdr>
    </w:div>
    <w:div w:id="367920288">
      <w:bodyDiv w:val="1"/>
      <w:marLeft w:val="0"/>
      <w:marRight w:val="0"/>
      <w:marTop w:val="0"/>
      <w:marBottom w:val="0"/>
      <w:divBdr>
        <w:top w:val="none" w:sz="0" w:space="0" w:color="auto"/>
        <w:left w:val="none" w:sz="0" w:space="0" w:color="auto"/>
        <w:bottom w:val="none" w:sz="0" w:space="0" w:color="auto"/>
        <w:right w:val="none" w:sz="0" w:space="0" w:color="auto"/>
      </w:divBdr>
    </w:div>
    <w:div w:id="371686098">
      <w:bodyDiv w:val="1"/>
      <w:marLeft w:val="0"/>
      <w:marRight w:val="0"/>
      <w:marTop w:val="0"/>
      <w:marBottom w:val="0"/>
      <w:divBdr>
        <w:top w:val="none" w:sz="0" w:space="0" w:color="auto"/>
        <w:left w:val="none" w:sz="0" w:space="0" w:color="auto"/>
        <w:bottom w:val="none" w:sz="0" w:space="0" w:color="auto"/>
        <w:right w:val="none" w:sz="0" w:space="0" w:color="auto"/>
      </w:divBdr>
    </w:div>
    <w:div w:id="520318585">
      <w:bodyDiv w:val="1"/>
      <w:marLeft w:val="0"/>
      <w:marRight w:val="0"/>
      <w:marTop w:val="0"/>
      <w:marBottom w:val="0"/>
      <w:divBdr>
        <w:top w:val="none" w:sz="0" w:space="0" w:color="auto"/>
        <w:left w:val="none" w:sz="0" w:space="0" w:color="auto"/>
        <w:bottom w:val="none" w:sz="0" w:space="0" w:color="auto"/>
        <w:right w:val="none" w:sz="0" w:space="0" w:color="auto"/>
      </w:divBdr>
    </w:div>
    <w:div w:id="591666311">
      <w:bodyDiv w:val="1"/>
      <w:marLeft w:val="0"/>
      <w:marRight w:val="0"/>
      <w:marTop w:val="0"/>
      <w:marBottom w:val="0"/>
      <w:divBdr>
        <w:top w:val="none" w:sz="0" w:space="0" w:color="auto"/>
        <w:left w:val="none" w:sz="0" w:space="0" w:color="auto"/>
        <w:bottom w:val="none" w:sz="0" w:space="0" w:color="auto"/>
        <w:right w:val="none" w:sz="0" w:space="0" w:color="auto"/>
      </w:divBdr>
    </w:div>
    <w:div w:id="619071830">
      <w:bodyDiv w:val="1"/>
      <w:marLeft w:val="0"/>
      <w:marRight w:val="0"/>
      <w:marTop w:val="0"/>
      <w:marBottom w:val="0"/>
      <w:divBdr>
        <w:top w:val="none" w:sz="0" w:space="0" w:color="auto"/>
        <w:left w:val="none" w:sz="0" w:space="0" w:color="auto"/>
        <w:bottom w:val="none" w:sz="0" w:space="0" w:color="auto"/>
        <w:right w:val="none" w:sz="0" w:space="0" w:color="auto"/>
      </w:divBdr>
    </w:div>
    <w:div w:id="621228227">
      <w:bodyDiv w:val="1"/>
      <w:marLeft w:val="0"/>
      <w:marRight w:val="0"/>
      <w:marTop w:val="0"/>
      <w:marBottom w:val="0"/>
      <w:divBdr>
        <w:top w:val="none" w:sz="0" w:space="0" w:color="auto"/>
        <w:left w:val="none" w:sz="0" w:space="0" w:color="auto"/>
        <w:bottom w:val="none" w:sz="0" w:space="0" w:color="auto"/>
        <w:right w:val="none" w:sz="0" w:space="0" w:color="auto"/>
      </w:divBdr>
    </w:div>
    <w:div w:id="661278819">
      <w:bodyDiv w:val="1"/>
      <w:marLeft w:val="0"/>
      <w:marRight w:val="0"/>
      <w:marTop w:val="0"/>
      <w:marBottom w:val="0"/>
      <w:divBdr>
        <w:top w:val="none" w:sz="0" w:space="0" w:color="auto"/>
        <w:left w:val="none" w:sz="0" w:space="0" w:color="auto"/>
        <w:bottom w:val="none" w:sz="0" w:space="0" w:color="auto"/>
        <w:right w:val="none" w:sz="0" w:space="0" w:color="auto"/>
      </w:divBdr>
    </w:div>
    <w:div w:id="670060386">
      <w:bodyDiv w:val="1"/>
      <w:marLeft w:val="0"/>
      <w:marRight w:val="0"/>
      <w:marTop w:val="0"/>
      <w:marBottom w:val="0"/>
      <w:divBdr>
        <w:top w:val="none" w:sz="0" w:space="0" w:color="auto"/>
        <w:left w:val="none" w:sz="0" w:space="0" w:color="auto"/>
        <w:bottom w:val="none" w:sz="0" w:space="0" w:color="auto"/>
        <w:right w:val="none" w:sz="0" w:space="0" w:color="auto"/>
      </w:divBdr>
    </w:div>
    <w:div w:id="761876049">
      <w:bodyDiv w:val="1"/>
      <w:marLeft w:val="0"/>
      <w:marRight w:val="0"/>
      <w:marTop w:val="0"/>
      <w:marBottom w:val="0"/>
      <w:divBdr>
        <w:top w:val="none" w:sz="0" w:space="0" w:color="auto"/>
        <w:left w:val="none" w:sz="0" w:space="0" w:color="auto"/>
        <w:bottom w:val="none" w:sz="0" w:space="0" w:color="auto"/>
        <w:right w:val="none" w:sz="0" w:space="0" w:color="auto"/>
      </w:divBdr>
    </w:div>
    <w:div w:id="819270568">
      <w:bodyDiv w:val="1"/>
      <w:marLeft w:val="0"/>
      <w:marRight w:val="0"/>
      <w:marTop w:val="0"/>
      <w:marBottom w:val="0"/>
      <w:divBdr>
        <w:top w:val="none" w:sz="0" w:space="0" w:color="auto"/>
        <w:left w:val="none" w:sz="0" w:space="0" w:color="auto"/>
        <w:bottom w:val="none" w:sz="0" w:space="0" w:color="auto"/>
        <w:right w:val="none" w:sz="0" w:space="0" w:color="auto"/>
      </w:divBdr>
    </w:div>
    <w:div w:id="982079332">
      <w:bodyDiv w:val="1"/>
      <w:marLeft w:val="0"/>
      <w:marRight w:val="0"/>
      <w:marTop w:val="0"/>
      <w:marBottom w:val="0"/>
      <w:divBdr>
        <w:top w:val="none" w:sz="0" w:space="0" w:color="auto"/>
        <w:left w:val="none" w:sz="0" w:space="0" w:color="auto"/>
        <w:bottom w:val="none" w:sz="0" w:space="0" w:color="auto"/>
        <w:right w:val="none" w:sz="0" w:space="0" w:color="auto"/>
      </w:divBdr>
    </w:div>
    <w:div w:id="1117018311">
      <w:bodyDiv w:val="1"/>
      <w:marLeft w:val="0"/>
      <w:marRight w:val="0"/>
      <w:marTop w:val="0"/>
      <w:marBottom w:val="0"/>
      <w:divBdr>
        <w:top w:val="none" w:sz="0" w:space="0" w:color="auto"/>
        <w:left w:val="none" w:sz="0" w:space="0" w:color="auto"/>
        <w:bottom w:val="none" w:sz="0" w:space="0" w:color="auto"/>
        <w:right w:val="none" w:sz="0" w:space="0" w:color="auto"/>
      </w:divBdr>
    </w:div>
    <w:div w:id="1155729499">
      <w:bodyDiv w:val="1"/>
      <w:marLeft w:val="0"/>
      <w:marRight w:val="0"/>
      <w:marTop w:val="0"/>
      <w:marBottom w:val="0"/>
      <w:divBdr>
        <w:top w:val="none" w:sz="0" w:space="0" w:color="auto"/>
        <w:left w:val="none" w:sz="0" w:space="0" w:color="auto"/>
        <w:bottom w:val="none" w:sz="0" w:space="0" w:color="auto"/>
        <w:right w:val="none" w:sz="0" w:space="0" w:color="auto"/>
      </w:divBdr>
    </w:div>
    <w:div w:id="1178815705">
      <w:bodyDiv w:val="1"/>
      <w:marLeft w:val="0"/>
      <w:marRight w:val="0"/>
      <w:marTop w:val="0"/>
      <w:marBottom w:val="0"/>
      <w:divBdr>
        <w:top w:val="none" w:sz="0" w:space="0" w:color="auto"/>
        <w:left w:val="none" w:sz="0" w:space="0" w:color="auto"/>
        <w:bottom w:val="none" w:sz="0" w:space="0" w:color="auto"/>
        <w:right w:val="none" w:sz="0" w:space="0" w:color="auto"/>
      </w:divBdr>
    </w:div>
    <w:div w:id="1284341382">
      <w:bodyDiv w:val="1"/>
      <w:marLeft w:val="0"/>
      <w:marRight w:val="0"/>
      <w:marTop w:val="0"/>
      <w:marBottom w:val="0"/>
      <w:divBdr>
        <w:top w:val="none" w:sz="0" w:space="0" w:color="auto"/>
        <w:left w:val="none" w:sz="0" w:space="0" w:color="auto"/>
        <w:bottom w:val="none" w:sz="0" w:space="0" w:color="auto"/>
        <w:right w:val="none" w:sz="0" w:space="0" w:color="auto"/>
      </w:divBdr>
    </w:div>
    <w:div w:id="1287271537">
      <w:bodyDiv w:val="1"/>
      <w:marLeft w:val="0"/>
      <w:marRight w:val="0"/>
      <w:marTop w:val="0"/>
      <w:marBottom w:val="0"/>
      <w:divBdr>
        <w:top w:val="none" w:sz="0" w:space="0" w:color="auto"/>
        <w:left w:val="none" w:sz="0" w:space="0" w:color="auto"/>
        <w:bottom w:val="none" w:sz="0" w:space="0" w:color="auto"/>
        <w:right w:val="none" w:sz="0" w:space="0" w:color="auto"/>
      </w:divBdr>
    </w:div>
    <w:div w:id="1290431990">
      <w:bodyDiv w:val="1"/>
      <w:marLeft w:val="0"/>
      <w:marRight w:val="0"/>
      <w:marTop w:val="0"/>
      <w:marBottom w:val="0"/>
      <w:divBdr>
        <w:top w:val="none" w:sz="0" w:space="0" w:color="auto"/>
        <w:left w:val="none" w:sz="0" w:space="0" w:color="auto"/>
        <w:bottom w:val="none" w:sz="0" w:space="0" w:color="auto"/>
        <w:right w:val="none" w:sz="0" w:space="0" w:color="auto"/>
      </w:divBdr>
    </w:div>
    <w:div w:id="1397431557">
      <w:bodyDiv w:val="1"/>
      <w:marLeft w:val="0"/>
      <w:marRight w:val="0"/>
      <w:marTop w:val="0"/>
      <w:marBottom w:val="0"/>
      <w:divBdr>
        <w:top w:val="none" w:sz="0" w:space="0" w:color="auto"/>
        <w:left w:val="none" w:sz="0" w:space="0" w:color="auto"/>
        <w:bottom w:val="none" w:sz="0" w:space="0" w:color="auto"/>
        <w:right w:val="none" w:sz="0" w:space="0" w:color="auto"/>
      </w:divBdr>
    </w:div>
    <w:div w:id="1424064148">
      <w:bodyDiv w:val="1"/>
      <w:marLeft w:val="0"/>
      <w:marRight w:val="0"/>
      <w:marTop w:val="0"/>
      <w:marBottom w:val="0"/>
      <w:divBdr>
        <w:top w:val="none" w:sz="0" w:space="0" w:color="auto"/>
        <w:left w:val="none" w:sz="0" w:space="0" w:color="auto"/>
        <w:bottom w:val="none" w:sz="0" w:space="0" w:color="auto"/>
        <w:right w:val="none" w:sz="0" w:space="0" w:color="auto"/>
      </w:divBdr>
    </w:div>
    <w:div w:id="1513490894">
      <w:bodyDiv w:val="1"/>
      <w:marLeft w:val="0"/>
      <w:marRight w:val="0"/>
      <w:marTop w:val="0"/>
      <w:marBottom w:val="0"/>
      <w:divBdr>
        <w:top w:val="none" w:sz="0" w:space="0" w:color="auto"/>
        <w:left w:val="none" w:sz="0" w:space="0" w:color="auto"/>
        <w:bottom w:val="none" w:sz="0" w:space="0" w:color="auto"/>
        <w:right w:val="none" w:sz="0" w:space="0" w:color="auto"/>
      </w:divBdr>
    </w:div>
    <w:div w:id="1598829421">
      <w:bodyDiv w:val="1"/>
      <w:marLeft w:val="0"/>
      <w:marRight w:val="0"/>
      <w:marTop w:val="0"/>
      <w:marBottom w:val="0"/>
      <w:divBdr>
        <w:top w:val="none" w:sz="0" w:space="0" w:color="auto"/>
        <w:left w:val="none" w:sz="0" w:space="0" w:color="auto"/>
        <w:bottom w:val="none" w:sz="0" w:space="0" w:color="auto"/>
        <w:right w:val="none" w:sz="0" w:space="0" w:color="auto"/>
      </w:divBdr>
    </w:div>
    <w:div w:id="1658803930">
      <w:bodyDiv w:val="1"/>
      <w:marLeft w:val="0"/>
      <w:marRight w:val="0"/>
      <w:marTop w:val="0"/>
      <w:marBottom w:val="0"/>
      <w:divBdr>
        <w:top w:val="none" w:sz="0" w:space="0" w:color="auto"/>
        <w:left w:val="none" w:sz="0" w:space="0" w:color="auto"/>
        <w:bottom w:val="none" w:sz="0" w:space="0" w:color="auto"/>
        <w:right w:val="none" w:sz="0" w:space="0" w:color="auto"/>
      </w:divBdr>
    </w:div>
    <w:div w:id="1668560528">
      <w:bodyDiv w:val="1"/>
      <w:marLeft w:val="0"/>
      <w:marRight w:val="0"/>
      <w:marTop w:val="0"/>
      <w:marBottom w:val="0"/>
      <w:divBdr>
        <w:top w:val="none" w:sz="0" w:space="0" w:color="auto"/>
        <w:left w:val="none" w:sz="0" w:space="0" w:color="auto"/>
        <w:bottom w:val="none" w:sz="0" w:space="0" w:color="auto"/>
        <w:right w:val="none" w:sz="0" w:space="0" w:color="auto"/>
      </w:divBdr>
    </w:div>
    <w:div w:id="1678540109">
      <w:bodyDiv w:val="1"/>
      <w:marLeft w:val="0"/>
      <w:marRight w:val="0"/>
      <w:marTop w:val="0"/>
      <w:marBottom w:val="0"/>
      <w:divBdr>
        <w:top w:val="none" w:sz="0" w:space="0" w:color="auto"/>
        <w:left w:val="none" w:sz="0" w:space="0" w:color="auto"/>
        <w:bottom w:val="none" w:sz="0" w:space="0" w:color="auto"/>
        <w:right w:val="none" w:sz="0" w:space="0" w:color="auto"/>
      </w:divBdr>
    </w:div>
    <w:div w:id="1722438045">
      <w:bodyDiv w:val="1"/>
      <w:marLeft w:val="0"/>
      <w:marRight w:val="0"/>
      <w:marTop w:val="0"/>
      <w:marBottom w:val="0"/>
      <w:divBdr>
        <w:top w:val="none" w:sz="0" w:space="0" w:color="auto"/>
        <w:left w:val="none" w:sz="0" w:space="0" w:color="auto"/>
        <w:bottom w:val="none" w:sz="0" w:space="0" w:color="auto"/>
        <w:right w:val="none" w:sz="0" w:space="0" w:color="auto"/>
      </w:divBdr>
    </w:div>
    <w:div w:id="1727100523">
      <w:bodyDiv w:val="1"/>
      <w:marLeft w:val="0"/>
      <w:marRight w:val="0"/>
      <w:marTop w:val="0"/>
      <w:marBottom w:val="0"/>
      <w:divBdr>
        <w:top w:val="none" w:sz="0" w:space="0" w:color="auto"/>
        <w:left w:val="none" w:sz="0" w:space="0" w:color="auto"/>
        <w:bottom w:val="none" w:sz="0" w:space="0" w:color="auto"/>
        <w:right w:val="none" w:sz="0" w:space="0" w:color="auto"/>
      </w:divBdr>
    </w:div>
    <w:div w:id="1727489071">
      <w:bodyDiv w:val="1"/>
      <w:marLeft w:val="0"/>
      <w:marRight w:val="0"/>
      <w:marTop w:val="0"/>
      <w:marBottom w:val="0"/>
      <w:divBdr>
        <w:top w:val="none" w:sz="0" w:space="0" w:color="auto"/>
        <w:left w:val="none" w:sz="0" w:space="0" w:color="auto"/>
        <w:bottom w:val="none" w:sz="0" w:space="0" w:color="auto"/>
        <w:right w:val="none" w:sz="0" w:space="0" w:color="auto"/>
      </w:divBdr>
    </w:div>
    <w:div w:id="1777603391">
      <w:bodyDiv w:val="1"/>
      <w:marLeft w:val="0"/>
      <w:marRight w:val="0"/>
      <w:marTop w:val="0"/>
      <w:marBottom w:val="0"/>
      <w:divBdr>
        <w:top w:val="none" w:sz="0" w:space="0" w:color="auto"/>
        <w:left w:val="none" w:sz="0" w:space="0" w:color="auto"/>
        <w:bottom w:val="none" w:sz="0" w:space="0" w:color="auto"/>
        <w:right w:val="none" w:sz="0" w:space="0" w:color="auto"/>
      </w:divBdr>
    </w:div>
    <w:div w:id="1817913193">
      <w:bodyDiv w:val="1"/>
      <w:marLeft w:val="0"/>
      <w:marRight w:val="0"/>
      <w:marTop w:val="0"/>
      <w:marBottom w:val="0"/>
      <w:divBdr>
        <w:top w:val="none" w:sz="0" w:space="0" w:color="auto"/>
        <w:left w:val="none" w:sz="0" w:space="0" w:color="auto"/>
        <w:bottom w:val="none" w:sz="0" w:space="0" w:color="auto"/>
        <w:right w:val="none" w:sz="0" w:space="0" w:color="auto"/>
      </w:divBdr>
    </w:div>
    <w:div w:id="1831748533">
      <w:bodyDiv w:val="1"/>
      <w:marLeft w:val="0"/>
      <w:marRight w:val="0"/>
      <w:marTop w:val="0"/>
      <w:marBottom w:val="0"/>
      <w:divBdr>
        <w:top w:val="none" w:sz="0" w:space="0" w:color="auto"/>
        <w:left w:val="none" w:sz="0" w:space="0" w:color="auto"/>
        <w:bottom w:val="none" w:sz="0" w:space="0" w:color="auto"/>
        <w:right w:val="none" w:sz="0" w:space="0" w:color="auto"/>
      </w:divBdr>
    </w:div>
    <w:div w:id="1878541944">
      <w:bodyDiv w:val="1"/>
      <w:marLeft w:val="0"/>
      <w:marRight w:val="0"/>
      <w:marTop w:val="0"/>
      <w:marBottom w:val="0"/>
      <w:divBdr>
        <w:top w:val="none" w:sz="0" w:space="0" w:color="auto"/>
        <w:left w:val="none" w:sz="0" w:space="0" w:color="auto"/>
        <w:bottom w:val="none" w:sz="0" w:space="0" w:color="auto"/>
        <w:right w:val="none" w:sz="0" w:space="0" w:color="auto"/>
      </w:divBdr>
    </w:div>
    <w:div w:id="1895266207">
      <w:bodyDiv w:val="1"/>
      <w:marLeft w:val="0"/>
      <w:marRight w:val="0"/>
      <w:marTop w:val="0"/>
      <w:marBottom w:val="0"/>
      <w:divBdr>
        <w:top w:val="none" w:sz="0" w:space="0" w:color="auto"/>
        <w:left w:val="none" w:sz="0" w:space="0" w:color="auto"/>
        <w:bottom w:val="none" w:sz="0" w:space="0" w:color="auto"/>
        <w:right w:val="none" w:sz="0" w:space="0" w:color="auto"/>
      </w:divBdr>
    </w:div>
    <w:div w:id="1930652743">
      <w:bodyDiv w:val="1"/>
      <w:marLeft w:val="0"/>
      <w:marRight w:val="0"/>
      <w:marTop w:val="0"/>
      <w:marBottom w:val="0"/>
      <w:divBdr>
        <w:top w:val="none" w:sz="0" w:space="0" w:color="auto"/>
        <w:left w:val="none" w:sz="0" w:space="0" w:color="auto"/>
        <w:bottom w:val="none" w:sz="0" w:space="0" w:color="auto"/>
        <w:right w:val="none" w:sz="0" w:space="0" w:color="auto"/>
      </w:divBdr>
    </w:div>
    <w:div w:id="20620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oyds-SBFReturns@lloyds.com" TargetMode="Externa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mailto:Lloyds-businessplans@lloyd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loyds-SBFReturns@lloyds.com" TargetMode="External"/><Relationship Id="rId29" Type="http://schemas.openxmlformats.org/officeDocument/2006/relationships/hyperlink" Target="mailto:steven.champion@lloyd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loyds.com/claimsinflation" TargetMode="External"/><Relationship Id="rId32" Type="http://schemas.openxmlformats.org/officeDocument/2006/relationships/hyperlink" Target="http://www.lloyds.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lloyds.com/the-market/operating-at-lloyds/resources/risk_codes" TargetMode="External"/><Relationship Id="rId28" Type="http://schemas.openxmlformats.org/officeDocument/2006/relationships/hyperlink" Target="http://www.lloyds.com/the-market/operating-at-lloyds/lloyds-minimum-standard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cid:image001.png@01D52C2F.30BA79F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Microsoft_Excel_97-2003_Worksheet.xls"/><Relationship Id="rId27" Type="http://schemas.openxmlformats.org/officeDocument/2006/relationships/package" Target="embeddings/Microsoft_Word_Document.docx"/><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9bb367-cf5e-40d6-a83f-bbd7d15a0f02">WKYZR5E5WEQT-1950868586-10</_dlc_DocId>
    <_dlc_DocIdUrl xmlns="df9bb367-cf5e-40d6-a83f-bbd7d15a0f02">
      <Url>https://connect.lloyds.net/teams/cpg/_layouts/15/DocIdRedir.aspx?ID=WKYZR5E5WEQT-1950868586-10</Url>
      <Description>WKYZR5E5WEQT-1950868586-10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95FEB2B7896F4C966BFE89FCD85A3F" ma:contentTypeVersion="1" ma:contentTypeDescription="Create a new document." ma:contentTypeScope="" ma:versionID="6afcbd9cf2a8b827779a038173129ee2">
  <xsd:schema xmlns:xsd="http://www.w3.org/2001/XMLSchema" xmlns:xs="http://www.w3.org/2001/XMLSchema" xmlns:p="http://schemas.microsoft.com/office/2006/metadata/properties" xmlns:ns2="df9bb367-cf5e-40d6-a83f-bbd7d15a0f02" targetNamespace="http://schemas.microsoft.com/office/2006/metadata/properties" ma:root="true" ma:fieldsID="47c4a031b0793e3b349cd3e89159b267" ns2:_="">
    <xsd:import namespace="df9bb367-cf5e-40d6-a83f-bbd7d15a0f0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bb367-cf5e-40d6-a83f-bbd7d15a0f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6574-57AE-4768-897A-08DFCBFC223A}">
  <ds:schemaRefs>
    <ds:schemaRef ds:uri="http://schemas.microsoft.com/office/2006/metadata/properties"/>
    <ds:schemaRef ds:uri="http://schemas.microsoft.com/office/infopath/2007/PartnerControls"/>
    <ds:schemaRef ds:uri="df9bb367-cf5e-40d6-a83f-bbd7d15a0f02"/>
  </ds:schemaRefs>
</ds:datastoreItem>
</file>

<file path=customXml/itemProps2.xml><?xml version="1.0" encoding="utf-8"?>
<ds:datastoreItem xmlns:ds="http://schemas.openxmlformats.org/officeDocument/2006/customXml" ds:itemID="{00E715C7-BDB7-4759-B4A5-5E1EAAD28426}">
  <ds:schemaRefs>
    <ds:schemaRef ds:uri="http://schemas.microsoft.com/sharepoint/v3/contenttype/forms"/>
  </ds:schemaRefs>
</ds:datastoreItem>
</file>

<file path=customXml/itemProps3.xml><?xml version="1.0" encoding="utf-8"?>
<ds:datastoreItem xmlns:ds="http://schemas.openxmlformats.org/officeDocument/2006/customXml" ds:itemID="{09E49073-7948-476B-AD30-73E7A8CA9A48}">
  <ds:schemaRefs>
    <ds:schemaRef ds:uri="http://schemas.microsoft.com/sharepoint/events"/>
  </ds:schemaRefs>
</ds:datastoreItem>
</file>

<file path=customXml/itemProps4.xml><?xml version="1.0" encoding="utf-8"?>
<ds:datastoreItem xmlns:ds="http://schemas.openxmlformats.org/officeDocument/2006/customXml" ds:itemID="{16CFD81C-119F-4373-8062-377E590C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bb367-cf5e-40d6-a83f-bbd7d15a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FAEA9C-EB79-4D3C-989E-3A2AE489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976E15AA</Template>
  <TotalTime>0</TotalTime>
  <Pages>1</Pages>
  <Words>14416</Words>
  <Characters>82172</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96396</CharactersWithSpaces>
  <SharedDoc>false</SharedDoc>
  <HLinks>
    <vt:vector size="216" baseType="variant">
      <vt:variant>
        <vt:i4>524388</vt:i4>
      </vt:variant>
      <vt:variant>
        <vt:i4>204</vt:i4>
      </vt:variant>
      <vt:variant>
        <vt:i4>0</vt:i4>
      </vt:variant>
      <vt:variant>
        <vt:i4>5</vt:i4>
      </vt:variant>
      <vt:variant>
        <vt:lpwstr>mailto:Lloyds-businessplans@lloyds.com</vt:lpwstr>
      </vt:variant>
      <vt:variant>
        <vt:lpwstr/>
      </vt:variant>
      <vt:variant>
        <vt:i4>2228280</vt:i4>
      </vt:variant>
      <vt:variant>
        <vt:i4>201</vt:i4>
      </vt:variant>
      <vt:variant>
        <vt:i4>0</vt:i4>
      </vt:variant>
      <vt:variant>
        <vt:i4>5</vt:i4>
      </vt:variant>
      <vt:variant>
        <vt:lpwstr>http://www.lloyds.com/</vt:lpwstr>
      </vt:variant>
      <vt:variant>
        <vt:lpwstr/>
      </vt:variant>
      <vt:variant>
        <vt:i4>1769598</vt:i4>
      </vt:variant>
      <vt:variant>
        <vt:i4>198</vt:i4>
      </vt:variant>
      <vt:variant>
        <vt:i4>0</vt:i4>
      </vt:variant>
      <vt:variant>
        <vt:i4>5</vt:i4>
      </vt:variant>
      <vt:variant>
        <vt:lpwstr>mailto:steven.champion@lloyds.com</vt:lpwstr>
      </vt:variant>
      <vt:variant>
        <vt:lpwstr/>
      </vt:variant>
      <vt:variant>
        <vt:i4>5046352</vt:i4>
      </vt:variant>
      <vt:variant>
        <vt:i4>189</vt:i4>
      </vt:variant>
      <vt:variant>
        <vt:i4>0</vt:i4>
      </vt:variant>
      <vt:variant>
        <vt:i4>5</vt:i4>
      </vt:variant>
      <vt:variant>
        <vt:lpwstr>http://www.lloyds.com/claimsinflation</vt:lpwstr>
      </vt:variant>
      <vt:variant>
        <vt:lpwstr/>
      </vt:variant>
      <vt:variant>
        <vt:i4>6684738</vt:i4>
      </vt:variant>
      <vt:variant>
        <vt:i4>186</vt:i4>
      </vt:variant>
      <vt:variant>
        <vt:i4>0</vt:i4>
      </vt:variant>
      <vt:variant>
        <vt:i4>5</vt:i4>
      </vt:variant>
      <vt:variant>
        <vt:lpwstr>http://www.lloyds.com/the-market/operating-at-lloyds/resources/risk_codes</vt:lpwstr>
      </vt:variant>
      <vt:variant>
        <vt:lpwstr/>
      </vt:variant>
      <vt:variant>
        <vt:i4>7012354</vt:i4>
      </vt:variant>
      <vt:variant>
        <vt:i4>180</vt:i4>
      </vt:variant>
      <vt:variant>
        <vt:i4>0</vt:i4>
      </vt:variant>
      <vt:variant>
        <vt:i4>5</vt:i4>
      </vt:variant>
      <vt:variant>
        <vt:lpwstr>mailto:Lloyds-SBFReturns@lloyds.com</vt:lpwstr>
      </vt:variant>
      <vt:variant>
        <vt:lpwstr/>
      </vt:variant>
      <vt:variant>
        <vt:i4>1835061</vt:i4>
      </vt:variant>
      <vt:variant>
        <vt:i4>173</vt:i4>
      </vt:variant>
      <vt:variant>
        <vt:i4>0</vt:i4>
      </vt:variant>
      <vt:variant>
        <vt:i4>5</vt:i4>
      </vt:variant>
      <vt:variant>
        <vt:lpwstr/>
      </vt:variant>
      <vt:variant>
        <vt:lpwstr>_Toc452126191</vt:lpwstr>
      </vt:variant>
      <vt:variant>
        <vt:i4>1835061</vt:i4>
      </vt:variant>
      <vt:variant>
        <vt:i4>167</vt:i4>
      </vt:variant>
      <vt:variant>
        <vt:i4>0</vt:i4>
      </vt:variant>
      <vt:variant>
        <vt:i4>5</vt:i4>
      </vt:variant>
      <vt:variant>
        <vt:lpwstr/>
      </vt:variant>
      <vt:variant>
        <vt:lpwstr>_Toc452126190</vt:lpwstr>
      </vt:variant>
      <vt:variant>
        <vt:i4>1900597</vt:i4>
      </vt:variant>
      <vt:variant>
        <vt:i4>161</vt:i4>
      </vt:variant>
      <vt:variant>
        <vt:i4>0</vt:i4>
      </vt:variant>
      <vt:variant>
        <vt:i4>5</vt:i4>
      </vt:variant>
      <vt:variant>
        <vt:lpwstr/>
      </vt:variant>
      <vt:variant>
        <vt:lpwstr>_Toc452126189</vt:lpwstr>
      </vt:variant>
      <vt:variant>
        <vt:i4>1900597</vt:i4>
      </vt:variant>
      <vt:variant>
        <vt:i4>155</vt:i4>
      </vt:variant>
      <vt:variant>
        <vt:i4>0</vt:i4>
      </vt:variant>
      <vt:variant>
        <vt:i4>5</vt:i4>
      </vt:variant>
      <vt:variant>
        <vt:lpwstr/>
      </vt:variant>
      <vt:variant>
        <vt:lpwstr>_Toc452126188</vt:lpwstr>
      </vt:variant>
      <vt:variant>
        <vt:i4>1900597</vt:i4>
      </vt:variant>
      <vt:variant>
        <vt:i4>149</vt:i4>
      </vt:variant>
      <vt:variant>
        <vt:i4>0</vt:i4>
      </vt:variant>
      <vt:variant>
        <vt:i4>5</vt:i4>
      </vt:variant>
      <vt:variant>
        <vt:lpwstr/>
      </vt:variant>
      <vt:variant>
        <vt:lpwstr>_Toc452126187</vt:lpwstr>
      </vt:variant>
      <vt:variant>
        <vt:i4>1900597</vt:i4>
      </vt:variant>
      <vt:variant>
        <vt:i4>143</vt:i4>
      </vt:variant>
      <vt:variant>
        <vt:i4>0</vt:i4>
      </vt:variant>
      <vt:variant>
        <vt:i4>5</vt:i4>
      </vt:variant>
      <vt:variant>
        <vt:lpwstr/>
      </vt:variant>
      <vt:variant>
        <vt:lpwstr>_Toc452126186</vt:lpwstr>
      </vt:variant>
      <vt:variant>
        <vt:i4>1900597</vt:i4>
      </vt:variant>
      <vt:variant>
        <vt:i4>137</vt:i4>
      </vt:variant>
      <vt:variant>
        <vt:i4>0</vt:i4>
      </vt:variant>
      <vt:variant>
        <vt:i4>5</vt:i4>
      </vt:variant>
      <vt:variant>
        <vt:lpwstr/>
      </vt:variant>
      <vt:variant>
        <vt:lpwstr>_Toc452126184</vt:lpwstr>
      </vt:variant>
      <vt:variant>
        <vt:i4>1900597</vt:i4>
      </vt:variant>
      <vt:variant>
        <vt:i4>131</vt:i4>
      </vt:variant>
      <vt:variant>
        <vt:i4>0</vt:i4>
      </vt:variant>
      <vt:variant>
        <vt:i4>5</vt:i4>
      </vt:variant>
      <vt:variant>
        <vt:lpwstr/>
      </vt:variant>
      <vt:variant>
        <vt:lpwstr>_Toc452126183</vt:lpwstr>
      </vt:variant>
      <vt:variant>
        <vt:i4>1900597</vt:i4>
      </vt:variant>
      <vt:variant>
        <vt:i4>125</vt:i4>
      </vt:variant>
      <vt:variant>
        <vt:i4>0</vt:i4>
      </vt:variant>
      <vt:variant>
        <vt:i4>5</vt:i4>
      </vt:variant>
      <vt:variant>
        <vt:lpwstr/>
      </vt:variant>
      <vt:variant>
        <vt:lpwstr>_Toc452126182</vt:lpwstr>
      </vt:variant>
      <vt:variant>
        <vt:i4>1900597</vt:i4>
      </vt:variant>
      <vt:variant>
        <vt:i4>119</vt:i4>
      </vt:variant>
      <vt:variant>
        <vt:i4>0</vt:i4>
      </vt:variant>
      <vt:variant>
        <vt:i4>5</vt:i4>
      </vt:variant>
      <vt:variant>
        <vt:lpwstr/>
      </vt:variant>
      <vt:variant>
        <vt:lpwstr>_Toc452126181</vt:lpwstr>
      </vt:variant>
      <vt:variant>
        <vt:i4>1900597</vt:i4>
      </vt:variant>
      <vt:variant>
        <vt:i4>113</vt:i4>
      </vt:variant>
      <vt:variant>
        <vt:i4>0</vt:i4>
      </vt:variant>
      <vt:variant>
        <vt:i4>5</vt:i4>
      </vt:variant>
      <vt:variant>
        <vt:lpwstr/>
      </vt:variant>
      <vt:variant>
        <vt:lpwstr>_Toc452126180</vt:lpwstr>
      </vt:variant>
      <vt:variant>
        <vt:i4>1179701</vt:i4>
      </vt:variant>
      <vt:variant>
        <vt:i4>107</vt:i4>
      </vt:variant>
      <vt:variant>
        <vt:i4>0</vt:i4>
      </vt:variant>
      <vt:variant>
        <vt:i4>5</vt:i4>
      </vt:variant>
      <vt:variant>
        <vt:lpwstr/>
      </vt:variant>
      <vt:variant>
        <vt:lpwstr>_Toc452126179</vt:lpwstr>
      </vt:variant>
      <vt:variant>
        <vt:i4>1179701</vt:i4>
      </vt:variant>
      <vt:variant>
        <vt:i4>101</vt:i4>
      </vt:variant>
      <vt:variant>
        <vt:i4>0</vt:i4>
      </vt:variant>
      <vt:variant>
        <vt:i4>5</vt:i4>
      </vt:variant>
      <vt:variant>
        <vt:lpwstr/>
      </vt:variant>
      <vt:variant>
        <vt:lpwstr>_Toc452126178</vt:lpwstr>
      </vt:variant>
      <vt:variant>
        <vt:i4>1179701</vt:i4>
      </vt:variant>
      <vt:variant>
        <vt:i4>95</vt:i4>
      </vt:variant>
      <vt:variant>
        <vt:i4>0</vt:i4>
      </vt:variant>
      <vt:variant>
        <vt:i4>5</vt:i4>
      </vt:variant>
      <vt:variant>
        <vt:lpwstr/>
      </vt:variant>
      <vt:variant>
        <vt:lpwstr>_Toc452126177</vt:lpwstr>
      </vt:variant>
      <vt:variant>
        <vt:i4>1179701</vt:i4>
      </vt:variant>
      <vt:variant>
        <vt:i4>89</vt:i4>
      </vt:variant>
      <vt:variant>
        <vt:i4>0</vt:i4>
      </vt:variant>
      <vt:variant>
        <vt:i4>5</vt:i4>
      </vt:variant>
      <vt:variant>
        <vt:lpwstr/>
      </vt:variant>
      <vt:variant>
        <vt:lpwstr>_Toc452126176</vt:lpwstr>
      </vt:variant>
      <vt:variant>
        <vt:i4>1179701</vt:i4>
      </vt:variant>
      <vt:variant>
        <vt:i4>83</vt:i4>
      </vt:variant>
      <vt:variant>
        <vt:i4>0</vt:i4>
      </vt:variant>
      <vt:variant>
        <vt:i4>5</vt:i4>
      </vt:variant>
      <vt:variant>
        <vt:lpwstr/>
      </vt:variant>
      <vt:variant>
        <vt:lpwstr>_Toc452126175</vt:lpwstr>
      </vt:variant>
      <vt:variant>
        <vt:i4>1179701</vt:i4>
      </vt:variant>
      <vt:variant>
        <vt:i4>77</vt:i4>
      </vt:variant>
      <vt:variant>
        <vt:i4>0</vt:i4>
      </vt:variant>
      <vt:variant>
        <vt:i4>5</vt:i4>
      </vt:variant>
      <vt:variant>
        <vt:lpwstr/>
      </vt:variant>
      <vt:variant>
        <vt:lpwstr>_Toc452126174</vt:lpwstr>
      </vt:variant>
      <vt:variant>
        <vt:i4>1179701</vt:i4>
      </vt:variant>
      <vt:variant>
        <vt:i4>71</vt:i4>
      </vt:variant>
      <vt:variant>
        <vt:i4>0</vt:i4>
      </vt:variant>
      <vt:variant>
        <vt:i4>5</vt:i4>
      </vt:variant>
      <vt:variant>
        <vt:lpwstr/>
      </vt:variant>
      <vt:variant>
        <vt:lpwstr>_Toc452126173</vt:lpwstr>
      </vt:variant>
      <vt:variant>
        <vt:i4>1179701</vt:i4>
      </vt:variant>
      <vt:variant>
        <vt:i4>65</vt:i4>
      </vt:variant>
      <vt:variant>
        <vt:i4>0</vt:i4>
      </vt:variant>
      <vt:variant>
        <vt:i4>5</vt:i4>
      </vt:variant>
      <vt:variant>
        <vt:lpwstr/>
      </vt:variant>
      <vt:variant>
        <vt:lpwstr>_Toc452126172</vt:lpwstr>
      </vt:variant>
      <vt:variant>
        <vt:i4>1179701</vt:i4>
      </vt:variant>
      <vt:variant>
        <vt:i4>59</vt:i4>
      </vt:variant>
      <vt:variant>
        <vt:i4>0</vt:i4>
      </vt:variant>
      <vt:variant>
        <vt:i4>5</vt:i4>
      </vt:variant>
      <vt:variant>
        <vt:lpwstr/>
      </vt:variant>
      <vt:variant>
        <vt:lpwstr>_Toc452126171</vt:lpwstr>
      </vt:variant>
      <vt:variant>
        <vt:i4>1179701</vt:i4>
      </vt:variant>
      <vt:variant>
        <vt:i4>53</vt:i4>
      </vt:variant>
      <vt:variant>
        <vt:i4>0</vt:i4>
      </vt:variant>
      <vt:variant>
        <vt:i4>5</vt:i4>
      </vt:variant>
      <vt:variant>
        <vt:lpwstr/>
      </vt:variant>
      <vt:variant>
        <vt:lpwstr>_Toc452126170</vt:lpwstr>
      </vt:variant>
      <vt:variant>
        <vt:i4>1245237</vt:i4>
      </vt:variant>
      <vt:variant>
        <vt:i4>47</vt:i4>
      </vt:variant>
      <vt:variant>
        <vt:i4>0</vt:i4>
      </vt:variant>
      <vt:variant>
        <vt:i4>5</vt:i4>
      </vt:variant>
      <vt:variant>
        <vt:lpwstr/>
      </vt:variant>
      <vt:variant>
        <vt:lpwstr>_Toc452126169</vt:lpwstr>
      </vt:variant>
      <vt:variant>
        <vt:i4>1245237</vt:i4>
      </vt:variant>
      <vt:variant>
        <vt:i4>41</vt:i4>
      </vt:variant>
      <vt:variant>
        <vt:i4>0</vt:i4>
      </vt:variant>
      <vt:variant>
        <vt:i4>5</vt:i4>
      </vt:variant>
      <vt:variant>
        <vt:lpwstr/>
      </vt:variant>
      <vt:variant>
        <vt:lpwstr>_Toc452126168</vt:lpwstr>
      </vt:variant>
      <vt:variant>
        <vt:i4>1245237</vt:i4>
      </vt:variant>
      <vt:variant>
        <vt:i4>35</vt:i4>
      </vt:variant>
      <vt:variant>
        <vt:i4>0</vt:i4>
      </vt:variant>
      <vt:variant>
        <vt:i4>5</vt:i4>
      </vt:variant>
      <vt:variant>
        <vt:lpwstr/>
      </vt:variant>
      <vt:variant>
        <vt:lpwstr>_Toc452126167</vt:lpwstr>
      </vt:variant>
      <vt:variant>
        <vt:i4>1245237</vt:i4>
      </vt:variant>
      <vt:variant>
        <vt:i4>29</vt:i4>
      </vt:variant>
      <vt:variant>
        <vt:i4>0</vt:i4>
      </vt:variant>
      <vt:variant>
        <vt:i4>5</vt:i4>
      </vt:variant>
      <vt:variant>
        <vt:lpwstr/>
      </vt:variant>
      <vt:variant>
        <vt:lpwstr>_Toc452126166</vt:lpwstr>
      </vt:variant>
      <vt:variant>
        <vt:i4>1245237</vt:i4>
      </vt:variant>
      <vt:variant>
        <vt:i4>23</vt:i4>
      </vt:variant>
      <vt:variant>
        <vt:i4>0</vt:i4>
      </vt:variant>
      <vt:variant>
        <vt:i4>5</vt:i4>
      </vt:variant>
      <vt:variant>
        <vt:lpwstr/>
      </vt:variant>
      <vt:variant>
        <vt:lpwstr>_Toc452126165</vt:lpwstr>
      </vt:variant>
      <vt:variant>
        <vt:i4>1245237</vt:i4>
      </vt:variant>
      <vt:variant>
        <vt:i4>17</vt:i4>
      </vt:variant>
      <vt:variant>
        <vt:i4>0</vt:i4>
      </vt:variant>
      <vt:variant>
        <vt:i4>5</vt:i4>
      </vt:variant>
      <vt:variant>
        <vt:lpwstr/>
      </vt:variant>
      <vt:variant>
        <vt:lpwstr>_Toc452126164</vt:lpwstr>
      </vt:variant>
      <vt:variant>
        <vt:i4>1048629</vt:i4>
      </vt:variant>
      <vt:variant>
        <vt:i4>11</vt:i4>
      </vt:variant>
      <vt:variant>
        <vt:i4>0</vt:i4>
      </vt:variant>
      <vt:variant>
        <vt:i4>5</vt:i4>
      </vt:variant>
      <vt:variant>
        <vt:lpwstr/>
      </vt:variant>
      <vt:variant>
        <vt:lpwstr>_Toc452126152</vt:lpwstr>
      </vt:variant>
      <vt:variant>
        <vt:i4>1048629</vt:i4>
      </vt:variant>
      <vt:variant>
        <vt:i4>5</vt:i4>
      </vt:variant>
      <vt:variant>
        <vt:i4>0</vt:i4>
      </vt:variant>
      <vt:variant>
        <vt:i4>5</vt:i4>
      </vt:variant>
      <vt:variant>
        <vt:lpwstr/>
      </vt:variant>
      <vt:variant>
        <vt:lpwstr>_Toc452126151</vt:lpwstr>
      </vt:variant>
      <vt:variant>
        <vt:i4>7012354</vt:i4>
      </vt:variant>
      <vt:variant>
        <vt:i4>0</vt:i4>
      </vt:variant>
      <vt:variant>
        <vt:i4>0</vt:i4>
      </vt:variant>
      <vt:variant>
        <vt:i4>5</vt:i4>
      </vt:variant>
      <vt:variant>
        <vt:lpwstr>mailto:Lloyds-SBFReturns@lloyds.com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2019-07-08T17:21:00Z</dcterms:created>
  <dcterms:modified xsi:type="dcterms:W3CDTF">2019-07-08T17:22:00Z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CullenS@lloyds.com</vt:lpwstr>
  </property>
  <property fmtid="{D5CDD505-2E9C-101B-9397-08002B2CF9AE}" pid="5" name="MSIP_Label_b3b4ac1b-ad46-41e5-bbef-cfcc59b99d32_SetDate">
    <vt:lpwstr>2019-06-17T07:22:25.5919234Z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y fmtid="{D5CDD505-2E9C-101B-9397-08002B2CF9AE}" pid="10" name="ContentTypeId">
    <vt:lpwstr>0x0101009095FEB2B7896F4C966BFE89FCD85A3F</vt:lpwstr>
  </property>
  <property fmtid="{D5CDD505-2E9C-101B-9397-08002B2CF9AE}" pid="11" name="_dlc_DocIdItemGuid">
    <vt:lpwstr>831a317c-4ab7-4976-a952-82df872c61be</vt:lpwstr>
  </property>
</Properties>
</file>