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AA60" w14:textId="77777777" w:rsidR="00AE6967" w:rsidRPr="00D17A50" w:rsidRDefault="00AE6967" w:rsidP="00AE6967">
      <w:pPr>
        <w:jc w:val="center"/>
        <w:rPr>
          <w:rFonts w:ascii="Arial" w:hAnsi="Arial" w:cs="Arial"/>
          <w:sz w:val="22"/>
          <w:szCs w:val="22"/>
        </w:rPr>
      </w:pPr>
      <w:bookmarkStart w:id="0" w:name="_GoBack"/>
      <w:bookmarkEnd w:id="0"/>
      <w:r w:rsidRPr="00D17A50">
        <w:rPr>
          <w:rFonts w:ascii="Arial" w:hAnsi="Arial" w:cs="Arial"/>
          <w:sz w:val="22"/>
          <w:szCs w:val="22"/>
        </w:rPr>
        <w:t>ARTICLE 38(6) CSDR PARTICIPANT DISCLOSURE</w:t>
      </w:r>
    </w:p>
    <w:p w14:paraId="39C6C68A" w14:textId="77777777" w:rsidR="00AE6967" w:rsidRPr="00D17A50" w:rsidRDefault="00AE6967" w:rsidP="00AE6967">
      <w:pPr>
        <w:jc w:val="center"/>
        <w:rPr>
          <w:rFonts w:ascii="Arial" w:hAnsi="Arial" w:cs="Arial"/>
          <w:sz w:val="22"/>
          <w:szCs w:val="22"/>
        </w:rPr>
      </w:pPr>
      <w:r w:rsidRPr="00D17A50">
        <w:rPr>
          <w:rFonts w:ascii="Arial" w:hAnsi="Arial" w:cs="Arial"/>
          <w:sz w:val="22"/>
          <w:szCs w:val="22"/>
        </w:rPr>
        <w:t>COMMON DISCLOSURE</w:t>
      </w:r>
    </w:p>
    <w:p w14:paraId="19BB5E99" w14:textId="77777777" w:rsidR="00AE6967" w:rsidRPr="00D17A50" w:rsidRDefault="00AE6967" w:rsidP="00AE6967">
      <w:pPr>
        <w:rPr>
          <w:rFonts w:ascii="Arial" w:hAnsi="Arial" w:cs="Arial"/>
          <w:sz w:val="22"/>
          <w:szCs w:val="22"/>
        </w:rPr>
      </w:pPr>
    </w:p>
    <w:p w14:paraId="4428CB7B" w14:textId="01F39956" w:rsidR="00AE6967" w:rsidRPr="00D17A50" w:rsidRDefault="00AE6967" w:rsidP="003560FD">
      <w:pPr>
        <w:pStyle w:val="ListParagraph"/>
        <w:numPr>
          <w:ilvl w:val="0"/>
          <w:numId w:val="44"/>
        </w:numPr>
        <w:ind w:hanging="720"/>
        <w:rPr>
          <w:rFonts w:ascii="Arial" w:hAnsi="Arial" w:cs="Arial"/>
          <w:b/>
          <w:sz w:val="22"/>
          <w:szCs w:val="22"/>
        </w:rPr>
      </w:pPr>
      <w:r w:rsidRPr="00D17A50">
        <w:rPr>
          <w:rFonts w:ascii="Arial" w:hAnsi="Arial" w:cs="Arial"/>
          <w:b/>
          <w:sz w:val="22"/>
          <w:szCs w:val="22"/>
        </w:rPr>
        <w:t xml:space="preserve">Introduction </w:t>
      </w:r>
    </w:p>
    <w:p w14:paraId="6C12F47D" w14:textId="77777777" w:rsidR="00AE6967" w:rsidRPr="00D17A50" w:rsidRDefault="00AE6967" w:rsidP="00AE6967">
      <w:pPr>
        <w:rPr>
          <w:rFonts w:ascii="Arial" w:hAnsi="Arial" w:cs="Arial"/>
          <w:sz w:val="22"/>
          <w:szCs w:val="22"/>
        </w:rPr>
      </w:pPr>
    </w:p>
    <w:p w14:paraId="2E3A5234" w14:textId="5C836675" w:rsidR="00AE6967" w:rsidRPr="00D17A50" w:rsidRDefault="00AE6967" w:rsidP="00AE6967">
      <w:pPr>
        <w:rPr>
          <w:rFonts w:ascii="Arial" w:hAnsi="Arial" w:cs="Arial"/>
          <w:sz w:val="22"/>
          <w:szCs w:val="22"/>
        </w:rPr>
      </w:pPr>
      <w:r w:rsidRPr="00D17A50">
        <w:rPr>
          <w:rFonts w:ascii="Arial" w:hAnsi="Arial" w:cs="Arial"/>
          <w:sz w:val="22"/>
          <w:szCs w:val="22"/>
        </w:rPr>
        <w:t>The purpose of this document is to disclose the levels of protection associated with the different levels of segregation that  The Society of Lloyd’s (the “</w:t>
      </w:r>
      <w:r w:rsidRPr="00D17A50">
        <w:rPr>
          <w:rFonts w:ascii="Arial" w:hAnsi="Arial" w:cs="Arial"/>
          <w:b/>
          <w:sz w:val="22"/>
          <w:szCs w:val="22"/>
        </w:rPr>
        <w:t>Society</w:t>
      </w:r>
      <w:r w:rsidRPr="00D17A50">
        <w:rPr>
          <w:rFonts w:ascii="Arial" w:hAnsi="Arial" w:cs="Arial"/>
          <w:sz w:val="22"/>
          <w:szCs w:val="22"/>
        </w:rPr>
        <w:t>”</w:t>
      </w:r>
      <w:r w:rsidR="00384CC1" w:rsidRPr="00D17A50">
        <w:rPr>
          <w:rFonts w:ascii="Arial" w:hAnsi="Arial" w:cs="Arial"/>
          <w:sz w:val="22"/>
          <w:szCs w:val="22"/>
        </w:rPr>
        <w:t>, “</w:t>
      </w:r>
      <w:r w:rsidR="00384CC1" w:rsidRPr="00D17A50">
        <w:rPr>
          <w:rFonts w:ascii="Arial" w:hAnsi="Arial" w:cs="Arial"/>
          <w:b/>
          <w:sz w:val="22"/>
          <w:szCs w:val="22"/>
        </w:rPr>
        <w:t>us</w:t>
      </w:r>
      <w:r w:rsidR="00384CC1" w:rsidRPr="00D17A50">
        <w:rPr>
          <w:rFonts w:ascii="Arial" w:hAnsi="Arial" w:cs="Arial"/>
          <w:sz w:val="22"/>
          <w:szCs w:val="22"/>
        </w:rPr>
        <w:t>”</w:t>
      </w:r>
      <w:r w:rsidR="00513952" w:rsidRPr="00D17A50">
        <w:rPr>
          <w:rFonts w:ascii="Arial" w:hAnsi="Arial" w:cs="Arial"/>
          <w:sz w:val="22"/>
          <w:szCs w:val="22"/>
        </w:rPr>
        <w:t>,</w:t>
      </w:r>
      <w:r w:rsidR="00384CC1" w:rsidRPr="00D17A50">
        <w:rPr>
          <w:rFonts w:ascii="Arial" w:hAnsi="Arial" w:cs="Arial"/>
          <w:sz w:val="22"/>
          <w:szCs w:val="22"/>
        </w:rPr>
        <w:t xml:space="preserve"> “</w:t>
      </w:r>
      <w:r w:rsidR="00384CC1" w:rsidRPr="00D17A50">
        <w:rPr>
          <w:rFonts w:ascii="Arial" w:hAnsi="Arial" w:cs="Arial"/>
          <w:b/>
          <w:sz w:val="22"/>
          <w:szCs w:val="22"/>
        </w:rPr>
        <w:t>we</w:t>
      </w:r>
      <w:r w:rsidR="00384CC1" w:rsidRPr="00D17A50">
        <w:rPr>
          <w:rFonts w:ascii="Arial" w:hAnsi="Arial" w:cs="Arial"/>
          <w:sz w:val="22"/>
          <w:szCs w:val="22"/>
        </w:rPr>
        <w:t>”</w:t>
      </w:r>
      <w:r w:rsidR="00513952" w:rsidRPr="00D17A50">
        <w:rPr>
          <w:rFonts w:ascii="Arial" w:hAnsi="Arial" w:cs="Arial"/>
          <w:sz w:val="22"/>
          <w:szCs w:val="22"/>
        </w:rPr>
        <w:t xml:space="preserve"> or “</w:t>
      </w:r>
      <w:r w:rsidR="00513952" w:rsidRPr="00D17A50">
        <w:rPr>
          <w:rFonts w:ascii="Arial" w:hAnsi="Arial" w:cs="Arial"/>
          <w:b/>
          <w:sz w:val="22"/>
          <w:szCs w:val="22"/>
        </w:rPr>
        <w:t>our</w:t>
      </w:r>
      <w:r w:rsidR="00513952" w:rsidRPr="00D17A50">
        <w:rPr>
          <w:rFonts w:ascii="Arial" w:hAnsi="Arial" w:cs="Arial"/>
          <w:sz w:val="22"/>
          <w:szCs w:val="22"/>
        </w:rPr>
        <w:t>”</w:t>
      </w:r>
      <w:r w:rsidRPr="00D17A50">
        <w:rPr>
          <w:rFonts w:ascii="Arial" w:hAnsi="Arial" w:cs="Arial"/>
          <w:sz w:val="22"/>
          <w:szCs w:val="22"/>
        </w:rPr>
        <w:t xml:space="preserve">)  provides in respect of securities held  for </w:t>
      </w:r>
      <w:r w:rsidR="00B13171" w:rsidRPr="00D17A50">
        <w:rPr>
          <w:rFonts w:ascii="Arial" w:hAnsi="Arial" w:cs="Arial"/>
          <w:sz w:val="22"/>
          <w:szCs w:val="22"/>
        </w:rPr>
        <w:t>Client</w:t>
      </w:r>
      <w:r w:rsidRPr="00D17A50">
        <w:rPr>
          <w:rFonts w:ascii="Arial" w:hAnsi="Arial" w:cs="Arial"/>
          <w:sz w:val="22"/>
          <w:szCs w:val="22"/>
        </w:rPr>
        <w:t>s with Central Securities Depositories within the EEA (</w:t>
      </w:r>
      <w:r w:rsidR="000A02FF" w:rsidRPr="00D17A50">
        <w:rPr>
          <w:rFonts w:ascii="Arial" w:hAnsi="Arial" w:cs="Arial"/>
          <w:sz w:val="22"/>
          <w:szCs w:val="22"/>
        </w:rPr>
        <w:t>“</w:t>
      </w:r>
      <w:r w:rsidRPr="00D17A50">
        <w:rPr>
          <w:rFonts w:ascii="Arial" w:hAnsi="Arial" w:cs="Arial"/>
          <w:b/>
          <w:sz w:val="22"/>
          <w:szCs w:val="22"/>
        </w:rPr>
        <w:t>CSDs</w:t>
      </w:r>
      <w:r w:rsidR="000A02FF" w:rsidRPr="00D17A50">
        <w:rPr>
          <w:rFonts w:ascii="Arial" w:hAnsi="Arial" w:cs="Arial"/>
          <w:sz w:val="22"/>
          <w:szCs w:val="22"/>
        </w:rPr>
        <w:t>”</w:t>
      </w:r>
      <w:r w:rsidRPr="00D17A50">
        <w:rPr>
          <w:rFonts w:ascii="Arial" w:hAnsi="Arial" w:cs="Arial"/>
          <w:sz w:val="22"/>
          <w:szCs w:val="22"/>
        </w:rPr>
        <w:t>), including a description of the main legal implications of the respective levels of segregation offered and information on the insolvency law applicable.  This disclosure is required under Article 38(6) of the Central Securities Depositories Regulation (</w:t>
      </w:r>
      <w:r w:rsidR="000A02FF" w:rsidRPr="00D17A50">
        <w:rPr>
          <w:rFonts w:ascii="Arial" w:hAnsi="Arial" w:cs="Arial"/>
          <w:sz w:val="22"/>
          <w:szCs w:val="22"/>
        </w:rPr>
        <w:t>“</w:t>
      </w:r>
      <w:r w:rsidRPr="00D17A50">
        <w:rPr>
          <w:rFonts w:ascii="Arial" w:hAnsi="Arial" w:cs="Arial"/>
          <w:b/>
          <w:sz w:val="22"/>
          <w:szCs w:val="22"/>
        </w:rPr>
        <w:t>CSDR</w:t>
      </w:r>
      <w:r w:rsidR="000A02FF" w:rsidRPr="00D17A50">
        <w:rPr>
          <w:rFonts w:ascii="Arial" w:hAnsi="Arial" w:cs="Arial"/>
          <w:sz w:val="22"/>
          <w:szCs w:val="22"/>
        </w:rPr>
        <w:t>”</w:t>
      </w:r>
      <w:r w:rsidRPr="00D17A50">
        <w:rPr>
          <w:rFonts w:ascii="Arial" w:hAnsi="Arial" w:cs="Arial"/>
          <w:sz w:val="22"/>
          <w:szCs w:val="22"/>
        </w:rPr>
        <w:t xml:space="preserve">) in relation to CSDs in the EEA. </w:t>
      </w:r>
    </w:p>
    <w:p w14:paraId="0E7052DC" w14:textId="77777777" w:rsidR="00AE6967" w:rsidRPr="00D17A50" w:rsidRDefault="00AE6967" w:rsidP="00AE6967">
      <w:pPr>
        <w:rPr>
          <w:rFonts w:ascii="Arial" w:hAnsi="Arial" w:cs="Arial"/>
          <w:sz w:val="22"/>
          <w:szCs w:val="22"/>
        </w:rPr>
      </w:pPr>
    </w:p>
    <w:p w14:paraId="340EAD5F" w14:textId="688C7C74" w:rsidR="00AE6967" w:rsidRDefault="00AE6967" w:rsidP="00AE6967">
      <w:pPr>
        <w:rPr>
          <w:rFonts w:ascii="Arial" w:hAnsi="Arial" w:cs="Arial"/>
          <w:sz w:val="22"/>
          <w:szCs w:val="22"/>
        </w:rPr>
      </w:pPr>
      <w:r w:rsidRPr="00D17A50">
        <w:rPr>
          <w:rFonts w:ascii="Arial" w:hAnsi="Arial" w:cs="Arial"/>
          <w:sz w:val="22"/>
          <w:szCs w:val="22"/>
        </w:rPr>
        <w:t>Under CSDR, the CSD (“</w:t>
      </w:r>
      <w:r w:rsidR="00AB7874" w:rsidRPr="00D17A50">
        <w:rPr>
          <w:rFonts w:ascii="Arial" w:hAnsi="Arial" w:cs="Arial"/>
          <w:b/>
          <w:sz w:val="22"/>
          <w:szCs w:val="22"/>
        </w:rPr>
        <w:t>Euroclear UK &amp; Ireland</w:t>
      </w:r>
      <w:r w:rsidRPr="00D17A50">
        <w:rPr>
          <w:rFonts w:ascii="Arial" w:hAnsi="Arial" w:cs="Arial"/>
          <w:sz w:val="22"/>
          <w:szCs w:val="22"/>
        </w:rPr>
        <w:t xml:space="preserve">”) of which we are a direct participant (see glossary) has its own disclosure obligations and we include links to those disclosures in this document.  </w:t>
      </w:r>
    </w:p>
    <w:p w14:paraId="708F5CCF" w14:textId="77777777" w:rsidR="00CC672D" w:rsidRPr="00D17A50" w:rsidRDefault="00CC672D" w:rsidP="00AE6967">
      <w:pPr>
        <w:rPr>
          <w:rFonts w:ascii="Arial" w:hAnsi="Arial" w:cs="Arial"/>
          <w:sz w:val="22"/>
          <w:szCs w:val="22"/>
        </w:rPr>
      </w:pPr>
    </w:p>
    <w:p w14:paraId="321DF1D3" w14:textId="34620088" w:rsidR="00AE6967" w:rsidRPr="00D17A50" w:rsidRDefault="00AE6967" w:rsidP="00AE6967">
      <w:pPr>
        <w:rPr>
          <w:rFonts w:ascii="Arial" w:hAnsi="Arial" w:cs="Arial"/>
          <w:sz w:val="22"/>
          <w:szCs w:val="22"/>
        </w:rPr>
      </w:pPr>
      <w:r w:rsidRPr="00D17A50">
        <w:rPr>
          <w:rFonts w:ascii="Arial" w:hAnsi="Arial" w:cs="Arial"/>
          <w:sz w:val="22"/>
          <w:szCs w:val="22"/>
        </w:rPr>
        <w:t xml:space="preserve">This document is not intended to constitute legal or other advice and should not be relied upon as such. </w:t>
      </w:r>
      <w:r w:rsidR="002075F2">
        <w:rPr>
          <w:rFonts w:ascii="Arial" w:hAnsi="Arial" w:cs="Arial"/>
          <w:sz w:val="22"/>
          <w:szCs w:val="22"/>
        </w:rPr>
        <w:t xml:space="preserve"> </w:t>
      </w:r>
    </w:p>
    <w:p w14:paraId="41D2FD1A" w14:textId="77777777" w:rsidR="00AE6967" w:rsidRPr="00D17A50" w:rsidRDefault="00AE6967" w:rsidP="00AE6967">
      <w:pPr>
        <w:rPr>
          <w:rFonts w:ascii="Arial" w:hAnsi="Arial" w:cs="Arial"/>
          <w:sz w:val="22"/>
          <w:szCs w:val="22"/>
        </w:rPr>
      </w:pPr>
    </w:p>
    <w:p w14:paraId="564492EE" w14:textId="772A73C2" w:rsidR="00AE6967" w:rsidRPr="00D17A50" w:rsidRDefault="00AE6967" w:rsidP="003560FD">
      <w:pPr>
        <w:pStyle w:val="ListParagraph"/>
        <w:numPr>
          <w:ilvl w:val="0"/>
          <w:numId w:val="44"/>
        </w:numPr>
        <w:ind w:hanging="720"/>
        <w:rPr>
          <w:rFonts w:ascii="Arial" w:hAnsi="Arial" w:cs="Arial"/>
          <w:b/>
          <w:sz w:val="22"/>
          <w:szCs w:val="22"/>
        </w:rPr>
      </w:pPr>
      <w:r w:rsidRPr="00D17A50">
        <w:rPr>
          <w:rFonts w:ascii="Arial" w:hAnsi="Arial" w:cs="Arial"/>
          <w:b/>
          <w:sz w:val="22"/>
          <w:szCs w:val="22"/>
        </w:rPr>
        <w:t xml:space="preserve">Background  </w:t>
      </w:r>
    </w:p>
    <w:p w14:paraId="1FC58F0D" w14:textId="77777777" w:rsidR="00AE6967" w:rsidRPr="00D17A50" w:rsidRDefault="00AE6967" w:rsidP="00AE6967">
      <w:pPr>
        <w:rPr>
          <w:rFonts w:ascii="Arial" w:hAnsi="Arial" w:cs="Arial"/>
          <w:sz w:val="22"/>
          <w:szCs w:val="22"/>
        </w:rPr>
      </w:pPr>
    </w:p>
    <w:p w14:paraId="790DB059" w14:textId="7AAC1A6A" w:rsidR="00AE6967" w:rsidRPr="00D17A50" w:rsidRDefault="00AE6967" w:rsidP="00AE6967">
      <w:pPr>
        <w:rPr>
          <w:rFonts w:ascii="Arial" w:hAnsi="Arial" w:cs="Arial"/>
          <w:sz w:val="22"/>
          <w:szCs w:val="22"/>
        </w:rPr>
      </w:pPr>
      <w:r w:rsidRPr="00D17A50">
        <w:rPr>
          <w:rFonts w:ascii="Arial" w:hAnsi="Arial" w:cs="Arial"/>
          <w:sz w:val="22"/>
          <w:szCs w:val="22"/>
        </w:rPr>
        <w:t>The Society participates in the CSD system in respect of securities held a</w:t>
      </w:r>
      <w:r w:rsidR="00CC672D">
        <w:rPr>
          <w:rFonts w:ascii="Arial" w:hAnsi="Arial" w:cs="Arial"/>
          <w:sz w:val="22"/>
          <w:szCs w:val="22"/>
        </w:rPr>
        <w:t>s</w:t>
      </w:r>
      <w:r w:rsidRPr="00D17A50">
        <w:rPr>
          <w:rFonts w:ascii="Arial" w:hAnsi="Arial" w:cs="Arial"/>
          <w:sz w:val="22"/>
          <w:szCs w:val="22"/>
        </w:rPr>
        <w:t xml:space="preserve"> Funds at Lloyd’s (“</w:t>
      </w:r>
      <w:r w:rsidRPr="00D17A50">
        <w:rPr>
          <w:rFonts w:ascii="Arial" w:hAnsi="Arial" w:cs="Arial"/>
          <w:b/>
          <w:sz w:val="22"/>
          <w:szCs w:val="22"/>
        </w:rPr>
        <w:t>FAL</w:t>
      </w:r>
      <w:r w:rsidRPr="00D17A50">
        <w:rPr>
          <w:rFonts w:ascii="Arial" w:hAnsi="Arial" w:cs="Arial"/>
          <w:sz w:val="22"/>
          <w:szCs w:val="22"/>
        </w:rPr>
        <w:t xml:space="preserve">”). FAL are held in trust and the trustee of the FAL is the Society acting in that capacity. Accordingly, the </w:t>
      </w:r>
      <w:r w:rsidR="00B13171" w:rsidRPr="00D17A50">
        <w:rPr>
          <w:rFonts w:ascii="Arial" w:hAnsi="Arial" w:cs="Arial"/>
          <w:sz w:val="22"/>
          <w:szCs w:val="22"/>
        </w:rPr>
        <w:t>Client</w:t>
      </w:r>
      <w:r w:rsidRPr="00D17A50">
        <w:rPr>
          <w:rFonts w:ascii="Arial" w:hAnsi="Arial" w:cs="Arial"/>
          <w:sz w:val="22"/>
          <w:szCs w:val="22"/>
        </w:rPr>
        <w:t xml:space="preserve"> for the purposes of these arrangements is the Society (in its capacity as trustee of one or more FAL arrangements).</w:t>
      </w:r>
      <w:r w:rsidR="002075F2">
        <w:rPr>
          <w:rFonts w:ascii="Arial" w:hAnsi="Arial" w:cs="Arial"/>
          <w:sz w:val="22"/>
          <w:szCs w:val="22"/>
        </w:rPr>
        <w:t xml:space="preserve"> The Society will be treated as a separate Client in respect of each FAL arrangement.</w:t>
      </w:r>
    </w:p>
    <w:p w14:paraId="3C66E964" w14:textId="53147C71" w:rsidR="00384CC1" w:rsidRPr="00D17A50" w:rsidRDefault="00384CC1" w:rsidP="00AE6967">
      <w:pPr>
        <w:rPr>
          <w:rFonts w:ascii="Arial" w:hAnsi="Arial" w:cs="Arial"/>
          <w:sz w:val="22"/>
          <w:szCs w:val="22"/>
        </w:rPr>
      </w:pPr>
    </w:p>
    <w:p w14:paraId="53F6D018" w14:textId="2E766C24" w:rsidR="00384CC1" w:rsidRPr="00D17A50" w:rsidRDefault="00384CC1" w:rsidP="003560FD">
      <w:pPr>
        <w:pStyle w:val="ListParagraph"/>
        <w:numPr>
          <w:ilvl w:val="0"/>
          <w:numId w:val="44"/>
        </w:numPr>
        <w:ind w:hanging="720"/>
        <w:rPr>
          <w:rFonts w:ascii="Arial" w:hAnsi="Arial" w:cs="Arial"/>
          <w:b/>
          <w:sz w:val="22"/>
          <w:szCs w:val="22"/>
        </w:rPr>
      </w:pPr>
      <w:r w:rsidRPr="00D17A50">
        <w:rPr>
          <w:rFonts w:ascii="Arial" w:hAnsi="Arial" w:cs="Arial"/>
          <w:b/>
          <w:sz w:val="22"/>
          <w:szCs w:val="22"/>
        </w:rPr>
        <w:t xml:space="preserve">Levels of segregation </w:t>
      </w:r>
    </w:p>
    <w:p w14:paraId="1D33433D" w14:textId="77777777" w:rsidR="00AE6967" w:rsidRPr="00D17A50" w:rsidRDefault="00AE6967" w:rsidP="00AE6967">
      <w:pPr>
        <w:rPr>
          <w:rFonts w:ascii="Arial" w:hAnsi="Arial" w:cs="Arial"/>
          <w:sz w:val="22"/>
          <w:szCs w:val="22"/>
        </w:rPr>
      </w:pPr>
    </w:p>
    <w:p w14:paraId="52A74D35" w14:textId="04388D53" w:rsidR="00AE6967" w:rsidRPr="00D17A50" w:rsidRDefault="00AE6967" w:rsidP="00AE6967">
      <w:pPr>
        <w:rPr>
          <w:rFonts w:ascii="Arial" w:hAnsi="Arial" w:cs="Arial"/>
          <w:sz w:val="22"/>
          <w:szCs w:val="22"/>
        </w:rPr>
      </w:pPr>
      <w:r w:rsidRPr="00D17A50">
        <w:rPr>
          <w:rFonts w:ascii="Arial" w:hAnsi="Arial" w:cs="Arial"/>
          <w:sz w:val="22"/>
          <w:szCs w:val="22"/>
        </w:rPr>
        <w:t xml:space="preserve">We record </w:t>
      </w:r>
      <w:r w:rsidR="00640DCE" w:rsidRPr="00D17A50">
        <w:rPr>
          <w:rFonts w:ascii="Arial" w:hAnsi="Arial" w:cs="Arial"/>
          <w:sz w:val="22"/>
          <w:szCs w:val="22"/>
        </w:rPr>
        <w:t>the</w:t>
      </w:r>
      <w:r w:rsidRPr="00D17A50">
        <w:rPr>
          <w:rFonts w:ascii="Arial" w:hAnsi="Arial" w:cs="Arial"/>
          <w:sz w:val="22"/>
          <w:szCs w:val="22"/>
        </w:rPr>
        <w:t xml:space="preserve"> </w:t>
      </w:r>
      <w:r w:rsidR="00B13171" w:rsidRPr="00D17A50">
        <w:rPr>
          <w:rFonts w:ascii="Arial" w:hAnsi="Arial" w:cs="Arial"/>
          <w:sz w:val="22"/>
          <w:szCs w:val="22"/>
        </w:rPr>
        <w:t>Client</w:t>
      </w:r>
      <w:r w:rsidRPr="00D17A50">
        <w:rPr>
          <w:rFonts w:ascii="Arial" w:hAnsi="Arial" w:cs="Arial"/>
          <w:sz w:val="22"/>
          <w:szCs w:val="22"/>
        </w:rPr>
        <w:t xml:space="preserve">’s legal entitlement to securities that we hold for </w:t>
      </w:r>
      <w:r w:rsidR="00640DCE" w:rsidRPr="00D17A50">
        <w:rPr>
          <w:rFonts w:ascii="Arial" w:hAnsi="Arial" w:cs="Arial"/>
          <w:sz w:val="22"/>
          <w:szCs w:val="22"/>
        </w:rPr>
        <w:t>the</w:t>
      </w:r>
      <w:r w:rsidRPr="00D17A50">
        <w:rPr>
          <w:rFonts w:ascii="Arial" w:hAnsi="Arial" w:cs="Arial"/>
          <w:sz w:val="22"/>
          <w:szCs w:val="22"/>
        </w:rPr>
        <w:t xml:space="preserve"> </w:t>
      </w:r>
      <w:r w:rsidR="00B13171" w:rsidRPr="00D17A50">
        <w:rPr>
          <w:rFonts w:ascii="Arial" w:hAnsi="Arial" w:cs="Arial"/>
          <w:sz w:val="22"/>
          <w:szCs w:val="22"/>
        </w:rPr>
        <w:t>Client</w:t>
      </w:r>
      <w:r w:rsidRPr="00D17A50">
        <w:rPr>
          <w:rFonts w:ascii="Arial" w:hAnsi="Arial" w:cs="Arial"/>
          <w:sz w:val="22"/>
          <w:szCs w:val="22"/>
        </w:rPr>
        <w:t xml:space="preserve"> in one or more </w:t>
      </w:r>
      <w:r w:rsidR="00B13171" w:rsidRPr="00D17A50">
        <w:rPr>
          <w:rFonts w:ascii="Arial" w:hAnsi="Arial" w:cs="Arial"/>
          <w:sz w:val="22"/>
          <w:szCs w:val="22"/>
        </w:rPr>
        <w:t>Client</w:t>
      </w:r>
      <w:r w:rsidRPr="00D17A50">
        <w:rPr>
          <w:rFonts w:ascii="Arial" w:hAnsi="Arial" w:cs="Arial"/>
          <w:sz w:val="22"/>
          <w:szCs w:val="22"/>
        </w:rPr>
        <w:t xml:space="preserve"> securities accounts established and maintained in our own books and records. We also open accounts with direct participant banks </w:t>
      </w:r>
      <w:r w:rsidR="00082F6B" w:rsidRPr="00D17A50">
        <w:rPr>
          <w:rFonts w:ascii="Arial" w:hAnsi="Arial" w:cs="Arial"/>
          <w:sz w:val="22"/>
          <w:szCs w:val="22"/>
        </w:rPr>
        <w:t xml:space="preserve">who operate </w:t>
      </w:r>
      <w:r w:rsidRPr="00D17A50">
        <w:rPr>
          <w:rFonts w:ascii="Arial" w:hAnsi="Arial" w:cs="Arial"/>
          <w:sz w:val="22"/>
          <w:szCs w:val="22"/>
        </w:rPr>
        <w:t xml:space="preserve">outside the UK in which we hold </w:t>
      </w:r>
      <w:r w:rsidR="00B13171" w:rsidRPr="00D17A50">
        <w:rPr>
          <w:rFonts w:ascii="Arial" w:hAnsi="Arial" w:cs="Arial"/>
          <w:sz w:val="22"/>
          <w:szCs w:val="22"/>
        </w:rPr>
        <w:t>Client</w:t>
      </w:r>
      <w:r w:rsidRPr="00D17A50">
        <w:rPr>
          <w:rFonts w:ascii="Arial" w:hAnsi="Arial" w:cs="Arial"/>
          <w:sz w:val="22"/>
          <w:szCs w:val="22"/>
        </w:rPr>
        <w:t xml:space="preserve">s’ securities. We currently make two types of accounts with the CSDs available to </w:t>
      </w:r>
      <w:r w:rsidR="00B13171" w:rsidRPr="00D17A50">
        <w:rPr>
          <w:rFonts w:ascii="Arial" w:hAnsi="Arial" w:cs="Arial"/>
          <w:sz w:val="22"/>
          <w:szCs w:val="22"/>
        </w:rPr>
        <w:t>Client</w:t>
      </w:r>
      <w:r w:rsidRPr="00D17A50">
        <w:rPr>
          <w:rFonts w:ascii="Arial" w:hAnsi="Arial" w:cs="Arial"/>
          <w:sz w:val="22"/>
          <w:szCs w:val="22"/>
        </w:rPr>
        <w:t xml:space="preserve">s:  Individual </w:t>
      </w:r>
      <w:r w:rsidR="00B13171" w:rsidRPr="00D17A50">
        <w:rPr>
          <w:rFonts w:ascii="Arial" w:hAnsi="Arial" w:cs="Arial"/>
          <w:sz w:val="22"/>
          <w:szCs w:val="22"/>
        </w:rPr>
        <w:t>Client</w:t>
      </w:r>
      <w:r w:rsidRPr="00D17A50">
        <w:rPr>
          <w:rFonts w:ascii="Arial" w:hAnsi="Arial" w:cs="Arial"/>
          <w:sz w:val="22"/>
          <w:szCs w:val="22"/>
        </w:rPr>
        <w:t xml:space="preserve"> Segregated Accounts (</w:t>
      </w:r>
      <w:r w:rsidR="00384CC1" w:rsidRPr="00D17A50">
        <w:rPr>
          <w:rFonts w:ascii="Arial" w:hAnsi="Arial" w:cs="Arial"/>
          <w:sz w:val="22"/>
          <w:szCs w:val="22"/>
        </w:rPr>
        <w:t>“</w:t>
      </w:r>
      <w:r w:rsidRPr="00D17A50">
        <w:rPr>
          <w:rFonts w:ascii="Arial" w:hAnsi="Arial" w:cs="Arial"/>
          <w:b/>
          <w:sz w:val="22"/>
          <w:szCs w:val="22"/>
        </w:rPr>
        <w:t>ISAs</w:t>
      </w:r>
      <w:r w:rsidR="00384CC1" w:rsidRPr="00D17A50">
        <w:rPr>
          <w:rFonts w:ascii="Arial" w:hAnsi="Arial" w:cs="Arial"/>
          <w:sz w:val="22"/>
          <w:szCs w:val="22"/>
        </w:rPr>
        <w:t>”</w:t>
      </w:r>
      <w:r w:rsidRPr="00D17A50">
        <w:rPr>
          <w:rFonts w:ascii="Arial" w:hAnsi="Arial" w:cs="Arial"/>
          <w:sz w:val="22"/>
          <w:szCs w:val="22"/>
        </w:rPr>
        <w:t xml:space="preserve">) and Omnibus </w:t>
      </w:r>
      <w:r w:rsidR="00B13171" w:rsidRPr="00D17A50">
        <w:rPr>
          <w:rFonts w:ascii="Arial" w:hAnsi="Arial" w:cs="Arial"/>
          <w:sz w:val="22"/>
          <w:szCs w:val="22"/>
        </w:rPr>
        <w:t>Client</w:t>
      </w:r>
      <w:r w:rsidRPr="00D17A50">
        <w:rPr>
          <w:rFonts w:ascii="Arial" w:hAnsi="Arial" w:cs="Arial"/>
          <w:sz w:val="22"/>
          <w:szCs w:val="22"/>
        </w:rPr>
        <w:t xml:space="preserve"> Segregated Accounts (</w:t>
      </w:r>
      <w:r w:rsidR="00384CC1" w:rsidRPr="00D17A50">
        <w:rPr>
          <w:rFonts w:ascii="Arial" w:hAnsi="Arial" w:cs="Arial"/>
          <w:sz w:val="22"/>
          <w:szCs w:val="22"/>
        </w:rPr>
        <w:t>“</w:t>
      </w:r>
      <w:r w:rsidRPr="00D17A50">
        <w:rPr>
          <w:rFonts w:ascii="Arial" w:hAnsi="Arial" w:cs="Arial"/>
          <w:b/>
          <w:sz w:val="22"/>
          <w:szCs w:val="22"/>
        </w:rPr>
        <w:t>OSAs</w:t>
      </w:r>
      <w:r w:rsidR="00384CC1" w:rsidRPr="00D17A50">
        <w:rPr>
          <w:rFonts w:ascii="Arial" w:hAnsi="Arial" w:cs="Arial"/>
          <w:sz w:val="22"/>
          <w:szCs w:val="22"/>
        </w:rPr>
        <w:t>”</w:t>
      </w:r>
      <w:r w:rsidRPr="00D17A50">
        <w:rPr>
          <w:rFonts w:ascii="Arial" w:hAnsi="Arial" w:cs="Arial"/>
          <w:sz w:val="22"/>
          <w:szCs w:val="22"/>
        </w:rPr>
        <w:t xml:space="preserve">).  </w:t>
      </w:r>
    </w:p>
    <w:p w14:paraId="7749C01E" w14:textId="77777777" w:rsidR="00AE6967" w:rsidRPr="00D17A50" w:rsidRDefault="00AE6967" w:rsidP="00AE6967">
      <w:pPr>
        <w:rPr>
          <w:rFonts w:ascii="Arial" w:hAnsi="Arial" w:cs="Arial"/>
          <w:sz w:val="22"/>
          <w:szCs w:val="22"/>
        </w:rPr>
      </w:pPr>
    </w:p>
    <w:p w14:paraId="635C453E" w14:textId="7D5A7595" w:rsidR="00AE6967" w:rsidRPr="00D17A50" w:rsidRDefault="00AE6967" w:rsidP="00AE6967">
      <w:pPr>
        <w:rPr>
          <w:rFonts w:ascii="Arial" w:hAnsi="Arial" w:cs="Arial"/>
          <w:sz w:val="22"/>
          <w:szCs w:val="22"/>
        </w:rPr>
      </w:pPr>
      <w:r w:rsidRPr="00D17A50">
        <w:rPr>
          <w:rFonts w:ascii="Arial" w:hAnsi="Arial" w:cs="Arial"/>
          <w:sz w:val="22"/>
          <w:szCs w:val="22"/>
        </w:rPr>
        <w:t xml:space="preserve">An ISA is used to hold the securities of a single </w:t>
      </w:r>
      <w:r w:rsidR="00B13171" w:rsidRPr="00D17A50">
        <w:rPr>
          <w:rFonts w:ascii="Arial" w:hAnsi="Arial" w:cs="Arial"/>
          <w:sz w:val="22"/>
          <w:szCs w:val="22"/>
        </w:rPr>
        <w:t>Client</w:t>
      </w:r>
      <w:r w:rsidRPr="00D17A50">
        <w:rPr>
          <w:rFonts w:ascii="Arial" w:hAnsi="Arial" w:cs="Arial"/>
          <w:sz w:val="22"/>
          <w:szCs w:val="22"/>
        </w:rPr>
        <w:t xml:space="preserve"> and therefore the </w:t>
      </w:r>
      <w:r w:rsidR="00B13171" w:rsidRPr="00D17A50">
        <w:rPr>
          <w:rFonts w:ascii="Arial" w:hAnsi="Arial" w:cs="Arial"/>
          <w:sz w:val="22"/>
          <w:szCs w:val="22"/>
        </w:rPr>
        <w:t>Client</w:t>
      </w:r>
      <w:r w:rsidRPr="00D17A50">
        <w:rPr>
          <w:rFonts w:ascii="Arial" w:hAnsi="Arial" w:cs="Arial"/>
          <w:sz w:val="22"/>
          <w:szCs w:val="22"/>
        </w:rPr>
        <w:t xml:space="preserve">’s securities are held by us in a CSD account which is separate from accounts used to hold the securities of other </w:t>
      </w:r>
      <w:r w:rsidR="00B13171" w:rsidRPr="00D17A50">
        <w:rPr>
          <w:rFonts w:ascii="Arial" w:hAnsi="Arial" w:cs="Arial"/>
          <w:sz w:val="22"/>
          <w:szCs w:val="22"/>
        </w:rPr>
        <w:t>Client</w:t>
      </w:r>
      <w:r w:rsidRPr="00D17A50">
        <w:rPr>
          <w:rFonts w:ascii="Arial" w:hAnsi="Arial" w:cs="Arial"/>
          <w:sz w:val="22"/>
          <w:szCs w:val="22"/>
        </w:rPr>
        <w:t xml:space="preserve">s. </w:t>
      </w:r>
    </w:p>
    <w:p w14:paraId="4134356B" w14:textId="77777777" w:rsidR="00384CC1" w:rsidRPr="00D17A50" w:rsidRDefault="00384CC1" w:rsidP="00AE6967">
      <w:pPr>
        <w:rPr>
          <w:rFonts w:ascii="Arial" w:hAnsi="Arial" w:cs="Arial"/>
          <w:sz w:val="22"/>
          <w:szCs w:val="22"/>
        </w:rPr>
      </w:pPr>
    </w:p>
    <w:p w14:paraId="319AC40C" w14:textId="53D7B04E" w:rsidR="00AB7874" w:rsidRPr="00D17A50" w:rsidRDefault="00AE6967" w:rsidP="00AE6967">
      <w:pPr>
        <w:rPr>
          <w:rFonts w:ascii="Arial" w:hAnsi="Arial" w:cs="Arial"/>
          <w:sz w:val="22"/>
          <w:szCs w:val="22"/>
        </w:rPr>
      </w:pPr>
      <w:r w:rsidRPr="00D17A50">
        <w:rPr>
          <w:rFonts w:ascii="Arial" w:hAnsi="Arial" w:cs="Arial"/>
          <w:sz w:val="22"/>
          <w:szCs w:val="22"/>
        </w:rPr>
        <w:t xml:space="preserve">An OSA is used by us to hold the securities of </w:t>
      </w:r>
      <w:proofErr w:type="gramStart"/>
      <w:r w:rsidRPr="00D17A50">
        <w:rPr>
          <w:rFonts w:ascii="Arial" w:hAnsi="Arial" w:cs="Arial"/>
          <w:sz w:val="22"/>
          <w:szCs w:val="22"/>
        </w:rPr>
        <w:t>a number of</w:t>
      </w:r>
      <w:proofErr w:type="gramEnd"/>
      <w:r w:rsidRPr="00D17A50">
        <w:rPr>
          <w:rFonts w:ascii="Arial" w:hAnsi="Arial" w:cs="Arial"/>
          <w:sz w:val="22"/>
          <w:szCs w:val="22"/>
        </w:rPr>
        <w:t xml:space="preserve"> </w:t>
      </w:r>
      <w:r w:rsidR="00B13171" w:rsidRPr="00D17A50">
        <w:rPr>
          <w:rFonts w:ascii="Arial" w:hAnsi="Arial" w:cs="Arial"/>
          <w:sz w:val="22"/>
          <w:szCs w:val="22"/>
        </w:rPr>
        <w:t>Client</w:t>
      </w:r>
      <w:r w:rsidRPr="00D17A50">
        <w:rPr>
          <w:rFonts w:ascii="Arial" w:hAnsi="Arial" w:cs="Arial"/>
          <w:sz w:val="22"/>
          <w:szCs w:val="22"/>
        </w:rPr>
        <w:t xml:space="preserve">s on a collective basis. </w:t>
      </w:r>
    </w:p>
    <w:p w14:paraId="0CFACB70" w14:textId="77777777" w:rsidR="00AB7874" w:rsidRPr="00D17A50" w:rsidRDefault="00AB7874" w:rsidP="00AE6967">
      <w:pPr>
        <w:rPr>
          <w:rFonts w:ascii="Arial" w:hAnsi="Arial" w:cs="Arial"/>
          <w:sz w:val="22"/>
          <w:szCs w:val="22"/>
        </w:rPr>
      </w:pPr>
    </w:p>
    <w:p w14:paraId="13918D60" w14:textId="6364B530" w:rsidR="00384CC1" w:rsidRPr="00D17A50" w:rsidRDefault="00AB7874" w:rsidP="00AE6967">
      <w:pPr>
        <w:rPr>
          <w:rFonts w:ascii="Arial" w:hAnsi="Arial" w:cs="Arial"/>
          <w:sz w:val="22"/>
          <w:szCs w:val="22"/>
        </w:rPr>
      </w:pPr>
      <w:r w:rsidRPr="00D17A50">
        <w:rPr>
          <w:rFonts w:ascii="Arial" w:hAnsi="Arial" w:cs="Arial"/>
          <w:sz w:val="22"/>
          <w:szCs w:val="22"/>
        </w:rPr>
        <w:t xml:space="preserve">Our own proprietary securities are held separately from our </w:t>
      </w:r>
      <w:r w:rsidR="00B13171" w:rsidRPr="00D17A50">
        <w:rPr>
          <w:rFonts w:ascii="Arial" w:hAnsi="Arial" w:cs="Arial"/>
          <w:sz w:val="22"/>
          <w:szCs w:val="22"/>
        </w:rPr>
        <w:t>Client</w:t>
      </w:r>
      <w:r w:rsidRPr="00D17A50">
        <w:rPr>
          <w:rFonts w:ascii="Arial" w:hAnsi="Arial" w:cs="Arial"/>
          <w:sz w:val="22"/>
          <w:szCs w:val="22"/>
        </w:rPr>
        <w:t>s</w:t>
      </w:r>
      <w:r w:rsidR="00907C72">
        <w:rPr>
          <w:rFonts w:ascii="Arial" w:hAnsi="Arial" w:cs="Arial"/>
          <w:sz w:val="22"/>
          <w:szCs w:val="22"/>
        </w:rPr>
        <w:t>’</w:t>
      </w:r>
      <w:r w:rsidRPr="00D17A50">
        <w:rPr>
          <w:rFonts w:ascii="Arial" w:hAnsi="Arial" w:cs="Arial"/>
          <w:sz w:val="22"/>
          <w:szCs w:val="22"/>
        </w:rPr>
        <w:t xml:space="preserve"> I</w:t>
      </w:r>
      <w:r w:rsidR="00D17A50" w:rsidRPr="00D17A50">
        <w:rPr>
          <w:rFonts w:ascii="Arial" w:hAnsi="Arial" w:cs="Arial"/>
          <w:sz w:val="22"/>
          <w:szCs w:val="22"/>
        </w:rPr>
        <w:t>SA</w:t>
      </w:r>
      <w:r w:rsidRPr="00D17A50">
        <w:rPr>
          <w:rFonts w:ascii="Arial" w:hAnsi="Arial" w:cs="Arial"/>
          <w:sz w:val="22"/>
          <w:szCs w:val="22"/>
        </w:rPr>
        <w:t xml:space="preserve"> or OSA accounts. </w:t>
      </w:r>
    </w:p>
    <w:p w14:paraId="014AC234" w14:textId="77777777" w:rsidR="00384CC1" w:rsidRPr="00D17A50" w:rsidRDefault="00384CC1" w:rsidP="00AE6967">
      <w:pPr>
        <w:rPr>
          <w:rFonts w:ascii="Arial" w:hAnsi="Arial" w:cs="Arial"/>
          <w:sz w:val="22"/>
          <w:szCs w:val="22"/>
        </w:rPr>
      </w:pPr>
    </w:p>
    <w:p w14:paraId="65D94F96" w14:textId="1511A859" w:rsidR="00AE6967" w:rsidRPr="00D17A50" w:rsidRDefault="00770891" w:rsidP="00AE6967">
      <w:pPr>
        <w:rPr>
          <w:rFonts w:ascii="Arial" w:hAnsi="Arial" w:cs="Arial"/>
          <w:sz w:val="22"/>
          <w:szCs w:val="22"/>
        </w:rPr>
      </w:pPr>
      <w:r w:rsidRPr="00D17A50">
        <w:rPr>
          <w:rFonts w:ascii="Arial" w:hAnsi="Arial" w:cs="Arial"/>
          <w:sz w:val="22"/>
          <w:szCs w:val="22"/>
        </w:rPr>
        <w:t xml:space="preserve">There are no prescribed costs detailed in CSDR itself.  In general, the costs are higher for maintaining an ISA over an OSA due to the increased operational complexity and the costs associated with setting up and maintaining an ISA. </w:t>
      </w:r>
    </w:p>
    <w:p w14:paraId="500A7404" w14:textId="77777777" w:rsidR="007B68CB" w:rsidRPr="00D17A50" w:rsidRDefault="007B68CB" w:rsidP="00AE6967">
      <w:pPr>
        <w:rPr>
          <w:rFonts w:ascii="Arial" w:hAnsi="Arial" w:cs="Arial"/>
          <w:sz w:val="22"/>
          <w:szCs w:val="22"/>
        </w:rPr>
      </w:pPr>
    </w:p>
    <w:p w14:paraId="5A4A8F8C" w14:textId="64796FFB" w:rsidR="00384CC1" w:rsidRPr="00D17A50" w:rsidRDefault="00A436DE" w:rsidP="00AE6967">
      <w:pPr>
        <w:rPr>
          <w:rFonts w:ascii="Arial" w:hAnsi="Arial" w:cs="Arial"/>
          <w:sz w:val="22"/>
          <w:szCs w:val="22"/>
        </w:rPr>
      </w:pPr>
      <w:r w:rsidRPr="00D17A50">
        <w:rPr>
          <w:rFonts w:ascii="Arial" w:hAnsi="Arial" w:cs="Arial"/>
          <w:sz w:val="22"/>
          <w:szCs w:val="22"/>
        </w:rPr>
        <w:t xml:space="preserve">The terms on which funds are held are </w:t>
      </w:r>
      <w:r w:rsidR="00210F68" w:rsidRPr="00D17A50">
        <w:rPr>
          <w:rFonts w:ascii="Arial" w:hAnsi="Arial" w:cs="Arial"/>
          <w:sz w:val="22"/>
          <w:szCs w:val="22"/>
        </w:rPr>
        <w:t>contained</w:t>
      </w:r>
      <w:r w:rsidRPr="00D17A50">
        <w:rPr>
          <w:rFonts w:ascii="Arial" w:hAnsi="Arial" w:cs="Arial"/>
          <w:sz w:val="22"/>
          <w:szCs w:val="22"/>
        </w:rPr>
        <w:t xml:space="preserve"> in the Funds at Lloyd’s Trust Deeds</w:t>
      </w:r>
      <w:r w:rsidR="00B13171" w:rsidRPr="00D17A50">
        <w:rPr>
          <w:rFonts w:ascii="Arial" w:hAnsi="Arial" w:cs="Arial"/>
          <w:sz w:val="22"/>
          <w:szCs w:val="22"/>
        </w:rPr>
        <w:t>.</w:t>
      </w:r>
    </w:p>
    <w:p w14:paraId="5CCF1531" w14:textId="77777777" w:rsidR="00AE6967" w:rsidRPr="00D17A50" w:rsidRDefault="00AE6967" w:rsidP="00AE6967">
      <w:pPr>
        <w:rPr>
          <w:rFonts w:ascii="Arial" w:hAnsi="Arial" w:cs="Arial"/>
          <w:b/>
          <w:sz w:val="22"/>
          <w:szCs w:val="22"/>
        </w:rPr>
      </w:pPr>
    </w:p>
    <w:p w14:paraId="0F6CE1A1" w14:textId="7069E725" w:rsidR="00AE6967" w:rsidRPr="00D17A50" w:rsidRDefault="00AE6967" w:rsidP="003560FD">
      <w:pPr>
        <w:pStyle w:val="ListParagraph"/>
        <w:numPr>
          <w:ilvl w:val="0"/>
          <w:numId w:val="44"/>
        </w:numPr>
        <w:ind w:hanging="720"/>
        <w:rPr>
          <w:rFonts w:ascii="Arial" w:hAnsi="Arial" w:cs="Arial"/>
          <w:b/>
          <w:sz w:val="22"/>
          <w:szCs w:val="22"/>
        </w:rPr>
      </w:pPr>
      <w:r w:rsidRPr="00D17A50">
        <w:rPr>
          <w:rFonts w:ascii="Arial" w:hAnsi="Arial" w:cs="Arial"/>
          <w:b/>
          <w:sz w:val="22"/>
          <w:szCs w:val="22"/>
        </w:rPr>
        <w:t xml:space="preserve">Main legal implications of levels of segregation  </w:t>
      </w:r>
    </w:p>
    <w:p w14:paraId="13C1D590" w14:textId="77777777" w:rsidR="000A02FF" w:rsidRPr="00D17A50" w:rsidRDefault="000A02FF" w:rsidP="00AE6967">
      <w:pPr>
        <w:rPr>
          <w:rFonts w:ascii="Arial" w:hAnsi="Arial" w:cs="Arial"/>
          <w:sz w:val="22"/>
          <w:szCs w:val="22"/>
        </w:rPr>
      </w:pPr>
    </w:p>
    <w:p w14:paraId="70EF5B6C" w14:textId="4AA66621" w:rsidR="00384CC1" w:rsidRPr="00D17A50" w:rsidRDefault="00384CC1" w:rsidP="00AE6967">
      <w:pPr>
        <w:rPr>
          <w:rFonts w:ascii="Arial" w:hAnsi="Arial" w:cs="Arial"/>
          <w:i/>
          <w:sz w:val="22"/>
          <w:szCs w:val="22"/>
        </w:rPr>
      </w:pPr>
      <w:r w:rsidRPr="00D17A50">
        <w:rPr>
          <w:rFonts w:ascii="Arial" w:hAnsi="Arial" w:cs="Arial"/>
          <w:i/>
          <w:sz w:val="22"/>
          <w:szCs w:val="22"/>
        </w:rPr>
        <w:t xml:space="preserve">Nature of </w:t>
      </w:r>
      <w:r w:rsidR="00B13171" w:rsidRPr="00D17A50">
        <w:rPr>
          <w:rFonts w:ascii="Arial" w:hAnsi="Arial" w:cs="Arial"/>
          <w:i/>
          <w:sz w:val="22"/>
          <w:szCs w:val="22"/>
        </w:rPr>
        <w:t>Client</w:t>
      </w:r>
      <w:r w:rsidRPr="00D17A50">
        <w:rPr>
          <w:rFonts w:ascii="Arial" w:hAnsi="Arial" w:cs="Arial"/>
          <w:i/>
          <w:sz w:val="22"/>
          <w:szCs w:val="22"/>
        </w:rPr>
        <w:t>s’ interests</w:t>
      </w:r>
    </w:p>
    <w:p w14:paraId="0FB56D1D" w14:textId="19347BAA" w:rsidR="00384CC1" w:rsidRPr="00D17A50" w:rsidRDefault="00384CC1" w:rsidP="00AE6967">
      <w:pPr>
        <w:rPr>
          <w:rFonts w:ascii="Arial" w:hAnsi="Arial" w:cs="Arial"/>
          <w:sz w:val="22"/>
          <w:szCs w:val="22"/>
        </w:rPr>
      </w:pPr>
    </w:p>
    <w:p w14:paraId="192E7587" w14:textId="7595AB69" w:rsidR="00462F32" w:rsidRPr="00D17A50" w:rsidRDefault="00384CC1" w:rsidP="00384CC1">
      <w:pPr>
        <w:rPr>
          <w:rFonts w:ascii="Arial" w:hAnsi="Arial" w:cs="Arial"/>
          <w:sz w:val="22"/>
          <w:szCs w:val="22"/>
        </w:rPr>
      </w:pPr>
      <w:r w:rsidRPr="00D17A50">
        <w:rPr>
          <w:rFonts w:ascii="Arial" w:hAnsi="Arial" w:cs="Arial"/>
          <w:sz w:val="22"/>
          <w:szCs w:val="22"/>
        </w:rPr>
        <w:lastRenderedPageBreak/>
        <w:t>In relation to an ISA,</w:t>
      </w:r>
      <w:r w:rsidR="00835A56">
        <w:rPr>
          <w:rFonts w:ascii="Arial" w:hAnsi="Arial" w:cs="Arial"/>
          <w:sz w:val="22"/>
          <w:szCs w:val="22"/>
        </w:rPr>
        <w:t xml:space="preserve"> the securities belonging to a specific FAL trust fund are held in the ISA and</w:t>
      </w:r>
      <w:r w:rsidRPr="00D17A50">
        <w:rPr>
          <w:rFonts w:ascii="Arial" w:hAnsi="Arial" w:cs="Arial"/>
          <w:sz w:val="22"/>
          <w:szCs w:val="22"/>
        </w:rPr>
        <w:t xml:space="preserve"> </w:t>
      </w:r>
      <w:r w:rsidR="00640DCE" w:rsidRPr="00D17A50">
        <w:rPr>
          <w:rFonts w:ascii="Arial" w:hAnsi="Arial" w:cs="Arial"/>
          <w:sz w:val="22"/>
          <w:szCs w:val="22"/>
        </w:rPr>
        <w:t>the</w:t>
      </w:r>
      <w:r w:rsidRPr="00D17A50">
        <w:rPr>
          <w:rFonts w:ascii="Arial" w:hAnsi="Arial" w:cs="Arial"/>
          <w:sz w:val="22"/>
          <w:szCs w:val="22"/>
        </w:rPr>
        <w:t xml:space="preserve"> </w:t>
      </w:r>
      <w:r w:rsidR="00B13171" w:rsidRPr="00D17A50">
        <w:rPr>
          <w:rFonts w:ascii="Arial" w:hAnsi="Arial" w:cs="Arial"/>
          <w:sz w:val="22"/>
          <w:szCs w:val="22"/>
        </w:rPr>
        <w:t>Client</w:t>
      </w:r>
      <w:r w:rsidRPr="00D17A50">
        <w:rPr>
          <w:rFonts w:ascii="Arial" w:hAnsi="Arial" w:cs="Arial"/>
          <w:sz w:val="22"/>
          <w:szCs w:val="22"/>
        </w:rPr>
        <w:t xml:space="preserve"> is entitled to </w:t>
      </w:r>
      <w:proofErr w:type="gramStart"/>
      <w:r w:rsidRPr="00D17A50">
        <w:rPr>
          <w:rFonts w:ascii="Arial" w:hAnsi="Arial" w:cs="Arial"/>
          <w:sz w:val="22"/>
          <w:szCs w:val="22"/>
        </w:rPr>
        <w:t>all of</w:t>
      </w:r>
      <w:proofErr w:type="gramEnd"/>
      <w:r w:rsidRPr="00D17A50">
        <w:rPr>
          <w:rFonts w:ascii="Arial" w:hAnsi="Arial" w:cs="Arial"/>
          <w:sz w:val="22"/>
          <w:szCs w:val="22"/>
        </w:rPr>
        <w:t xml:space="preserve"> the securities held in </w:t>
      </w:r>
      <w:r w:rsidR="00835A56">
        <w:rPr>
          <w:rFonts w:ascii="Arial" w:hAnsi="Arial" w:cs="Arial"/>
          <w:sz w:val="22"/>
          <w:szCs w:val="22"/>
        </w:rPr>
        <w:t xml:space="preserve">that </w:t>
      </w:r>
      <w:r w:rsidRPr="00D17A50">
        <w:rPr>
          <w:rFonts w:ascii="Arial" w:hAnsi="Arial" w:cs="Arial"/>
          <w:sz w:val="22"/>
          <w:szCs w:val="22"/>
        </w:rPr>
        <w:t xml:space="preserve">ISA attributable to </w:t>
      </w:r>
      <w:r w:rsidR="00640DCE" w:rsidRPr="00D17A50">
        <w:rPr>
          <w:rFonts w:ascii="Arial" w:hAnsi="Arial" w:cs="Arial"/>
          <w:sz w:val="22"/>
          <w:szCs w:val="22"/>
        </w:rPr>
        <w:t>the</w:t>
      </w:r>
      <w:r w:rsidRPr="00D17A50">
        <w:rPr>
          <w:rFonts w:ascii="Arial" w:hAnsi="Arial" w:cs="Arial"/>
          <w:sz w:val="22"/>
          <w:szCs w:val="22"/>
        </w:rPr>
        <w:t xml:space="preserve"> </w:t>
      </w:r>
      <w:r w:rsidR="00B13171" w:rsidRPr="00D17A50">
        <w:rPr>
          <w:rFonts w:ascii="Arial" w:hAnsi="Arial" w:cs="Arial"/>
          <w:sz w:val="22"/>
          <w:szCs w:val="22"/>
        </w:rPr>
        <w:t>Client</w:t>
      </w:r>
      <w:r w:rsidR="00835A56">
        <w:rPr>
          <w:rFonts w:ascii="Arial" w:hAnsi="Arial" w:cs="Arial"/>
          <w:sz w:val="22"/>
          <w:szCs w:val="22"/>
        </w:rPr>
        <w:t xml:space="preserve"> as trustee for that specific FAL trust fund</w:t>
      </w:r>
      <w:r w:rsidR="001136EF">
        <w:rPr>
          <w:rFonts w:ascii="Arial" w:hAnsi="Arial" w:cs="Arial"/>
          <w:sz w:val="22"/>
          <w:szCs w:val="22"/>
        </w:rPr>
        <w:t xml:space="preserve"> </w:t>
      </w:r>
    </w:p>
    <w:p w14:paraId="36C1AD6E" w14:textId="77777777" w:rsidR="00462F32" w:rsidRPr="00D17A50" w:rsidRDefault="00462F32" w:rsidP="00384CC1">
      <w:pPr>
        <w:rPr>
          <w:rFonts w:ascii="Arial" w:hAnsi="Arial" w:cs="Arial"/>
          <w:sz w:val="22"/>
          <w:szCs w:val="22"/>
        </w:rPr>
      </w:pPr>
    </w:p>
    <w:p w14:paraId="421E9EEF" w14:textId="430F56F5" w:rsidR="00907C72" w:rsidRDefault="00384CC1" w:rsidP="00384CC1">
      <w:pPr>
        <w:rPr>
          <w:rFonts w:ascii="Arial" w:hAnsi="Arial" w:cs="Arial"/>
          <w:sz w:val="22"/>
          <w:szCs w:val="22"/>
        </w:rPr>
      </w:pPr>
      <w:r w:rsidRPr="00D17A50">
        <w:rPr>
          <w:rFonts w:ascii="Arial" w:hAnsi="Arial" w:cs="Arial"/>
          <w:sz w:val="22"/>
          <w:szCs w:val="22"/>
        </w:rPr>
        <w:t>In the case of an OSA,</w:t>
      </w:r>
      <w:r w:rsidR="0004196B" w:rsidRPr="00D17A50">
        <w:rPr>
          <w:rFonts w:ascii="Arial" w:hAnsi="Arial" w:cs="Arial"/>
          <w:sz w:val="22"/>
          <w:szCs w:val="22"/>
        </w:rPr>
        <w:t xml:space="preserve"> securities </w:t>
      </w:r>
      <w:r w:rsidR="00F725E8">
        <w:rPr>
          <w:rFonts w:ascii="Arial" w:hAnsi="Arial" w:cs="Arial"/>
          <w:sz w:val="22"/>
          <w:szCs w:val="22"/>
        </w:rPr>
        <w:t>belonging to different FAL trust</w:t>
      </w:r>
      <w:r w:rsidR="00835A56">
        <w:rPr>
          <w:rFonts w:ascii="Arial" w:hAnsi="Arial" w:cs="Arial"/>
          <w:sz w:val="22"/>
          <w:szCs w:val="22"/>
        </w:rPr>
        <w:t xml:space="preserve"> funds</w:t>
      </w:r>
      <w:r w:rsidR="00F725E8">
        <w:rPr>
          <w:rFonts w:ascii="Arial" w:hAnsi="Arial" w:cs="Arial"/>
          <w:sz w:val="22"/>
          <w:szCs w:val="22"/>
        </w:rPr>
        <w:t xml:space="preserve"> </w:t>
      </w:r>
      <w:r w:rsidR="0004196B" w:rsidRPr="00D17A50">
        <w:rPr>
          <w:rFonts w:ascii="Arial" w:hAnsi="Arial" w:cs="Arial"/>
          <w:sz w:val="22"/>
          <w:szCs w:val="22"/>
        </w:rPr>
        <w:t>are held collectively in a single account</w:t>
      </w:r>
      <w:r w:rsidR="00F725E8">
        <w:rPr>
          <w:rFonts w:ascii="Arial" w:hAnsi="Arial" w:cs="Arial"/>
          <w:sz w:val="22"/>
          <w:szCs w:val="22"/>
        </w:rPr>
        <w:t>.  A</w:t>
      </w:r>
      <w:r w:rsidR="0004196B" w:rsidRPr="00D17A50">
        <w:rPr>
          <w:rFonts w:ascii="Arial" w:hAnsi="Arial" w:cs="Arial"/>
          <w:sz w:val="22"/>
          <w:szCs w:val="22"/>
        </w:rPr>
        <w:t xml:space="preserve">s the Lloyd’s </w:t>
      </w:r>
      <w:r w:rsidR="002075F2">
        <w:rPr>
          <w:rFonts w:ascii="Arial" w:hAnsi="Arial" w:cs="Arial"/>
          <w:sz w:val="22"/>
          <w:szCs w:val="22"/>
        </w:rPr>
        <w:t xml:space="preserve">FAL </w:t>
      </w:r>
      <w:r w:rsidR="0004196B" w:rsidRPr="00D17A50">
        <w:rPr>
          <w:rFonts w:ascii="Arial" w:hAnsi="Arial" w:cs="Arial"/>
          <w:sz w:val="22"/>
          <w:szCs w:val="22"/>
        </w:rPr>
        <w:t xml:space="preserve">trustees are the </w:t>
      </w:r>
      <w:r w:rsidR="00B13171" w:rsidRPr="00D17A50">
        <w:rPr>
          <w:rFonts w:ascii="Arial" w:hAnsi="Arial" w:cs="Arial"/>
          <w:sz w:val="22"/>
          <w:szCs w:val="22"/>
        </w:rPr>
        <w:t>Client</w:t>
      </w:r>
      <w:r w:rsidR="0004196B" w:rsidRPr="00D17A50">
        <w:rPr>
          <w:rFonts w:ascii="Arial" w:hAnsi="Arial" w:cs="Arial"/>
          <w:sz w:val="22"/>
          <w:szCs w:val="22"/>
        </w:rPr>
        <w:t xml:space="preserve"> for the purposes of this disclosure,</w:t>
      </w:r>
      <w:r w:rsidRPr="00D17A50">
        <w:rPr>
          <w:rFonts w:ascii="Arial" w:hAnsi="Arial" w:cs="Arial"/>
          <w:sz w:val="22"/>
          <w:szCs w:val="22"/>
        </w:rPr>
        <w:t xml:space="preserve"> </w:t>
      </w:r>
      <w:r w:rsidR="0004196B" w:rsidRPr="00D17A50">
        <w:rPr>
          <w:rFonts w:ascii="Arial" w:hAnsi="Arial" w:cs="Arial"/>
          <w:sz w:val="22"/>
          <w:szCs w:val="22"/>
        </w:rPr>
        <w:t>the</w:t>
      </w:r>
      <w:r w:rsidRPr="00D17A50">
        <w:rPr>
          <w:rFonts w:ascii="Arial" w:hAnsi="Arial" w:cs="Arial"/>
          <w:sz w:val="22"/>
          <w:szCs w:val="22"/>
        </w:rPr>
        <w:t xml:space="preserve"> </w:t>
      </w:r>
      <w:r w:rsidR="00B13171" w:rsidRPr="00D17A50">
        <w:rPr>
          <w:rFonts w:ascii="Arial" w:hAnsi="Arial" w:cs="Arial"/>
          <w:sz w:val="22"/>
          <w:szCs w:val="22"/>
        </w:rPr>
        <w:t>Client</w:t>
      </w:r>
      <w:r w:rsidRPr="00D17A50">
        <w:rPr>
          <w:rFonts w:ascii="Arial" w:hAnsi="Arial" w:cs="Arial"/>
          <w:sz w:val="22"/>
          <w:szCs w:val="22"/>
        </w:rPr>
        <w:t xml:space="preserve"> is normally considered to have a</w:t>
      </w:r>
      <w:r w:rsidR="00F725E8">
        <w:rPr>
          <w:rFonts w:ascii="Arial" w:hAnsi="Arial" w:cs="Arial"/>
          <w:sz w:val="22"/>
          <w:szCs w:val="22"/>
        </w:rPr>
        <w:t>n</w:t>
      </w:r>
      <w:r w:rsidRPr="00D17A50">
        <w:rPr>
          <w:rFonts w:ascii="Arial" w:hAnsi="Arial" w:cs="Arial"/>
          <w:sz w:val="22"/>
          <w:szCs w:val="22"/>
        </w:rPr>
        <w:t xml:space="preserve"> interest in all securities as recorded in our books and records</w:t>
      </w:r>
      <w:r w:rsidR="00F725E8">
        <w:rPr>
          <w:rFonts w:ascii="Arial" w:hAnsi="Arial" w:cs="Arial"/>
          <w:sz w:val="22"/>
          <w:szCs w:val="22"/>
        </w:rPr>
        <w:t xml:space="preserve"> as held in the OSA however, the Client’s interest</w:t>
      </w:r>
      <w:r w:rsidR="00835A56">
        <w:rPr>
          <w:rFonts w:ascii="Arial" w:hAnsi="Arial" w:cs="Arial"/>
          <w:sz w:val="22"/>
          <w:szCs w:val="22"/>
        </w:rPr>
        <w:t xml:space="preserve"> would be held on behalf of each FAL trust</w:t>
      </w:r>
      <w:r w:rsidRPr="00D17A50">
        <w:rPr>
          <w:rFonts w:ascii="Arial" w:hAnsi="Arial" w:cs="Arial"/>
          <w:sz w:val="22"/>
          <w:szCs w:val="22"/>
        </w:rPr>
        <w:t>.</w:t>
      </w:r>
      <w:r w:rsidR="00835A56">
        <w:rPr>
          <w:rFonts w:ascii="Arial" w:hAnsi="Arial" w:cs="Arial"/>
          <w:sz w:val="22"/>
          <w:szCs w:val="22"/>
        </w:rPr>
        <w:t xml:space="preserve">  </w:t>
      </w:r>
    </w:p>
    <w:p w14:paraId="1B755ECB" w14:textId="77777777" w:rsidR="00907C72" w:rsidRDefault="00907C72" w:rsidP="00384CC1">
      <w:pPr>
        <w:rPr>
          <w:rFonts w:ascii="Arial" w:hAnsi="Arial" w:cs="Arial"/>
          <w:sz w:val="22"/>
          <w:szCs w:val="22"/>
        </w:rPr>
      </w:pPr>
    </w:p>
    <w:p w14:paraId="6C046FE4" w14:textId="3E87BA9D" w:rsidR="00907C72" w:rsidRDefault="00907C72" w:rsidP="00907C72">
      <w:pPr>
        <w:rPr>
          <w:rFonts w:ascii="Arial" w:hAnsi="Arial" w:cs="Arial"/>
          <w:sz w:val="22"/>
          <w:szCs w:val="22"/>
        </w:rPr>
      </w:pPr>
      <w:r w:rsidRPr="00907C72">
        <w:rPr>
          <w:rFonts w:ascii="Arial" w:hAnsi="Arial" w:cs="Arial"/>
          <w:sz w:val="22"/>
          <w:szCs w:val="22"/>
        </w:rPr>
        <w:t xml:space="preserve">Although </w:t>
      </w:r>
      <w:r w:rsidR="00173C2F">
        <w:rPr>
          <w:rFonts w:ascii="Arial" w:hAnsi="Arial" w:cs="Arial"/>
          <w:sz w:val="22"/>
          <w:szCs w:val="22"/>
        </w:rPr>
        <w:t>C</w:t>
      </w:r>
      <w:r w:rsidRPr="00907C72">
        <w:rPr>
          <w:rFonts w:ascii="Arial" w:hAnsi="Arial" w:cs="Arial"/>
          <w:sz w:val="22"/>
          <w:szCs w:val="22"/>
        </w:rPr>
        <w:t xml:space="preserve">lients securities are registered in our name at the relevant CSD, </w:t>
      </w:r>
      <w:r w:rsidR="00F725E8">
        <w:rPr>
          <w:rFonts w:ascii="Arial" w:hAnsi="Arial" w:cs="Arial"/>
          <w:sz w:val="22"/>
          <w:szCs w:val="22"/>
        </w:rPr>
        <w:t>Lloyd’s</w:t>
      </w:r>
      <w:r w:rsidRPr="00907C72">
        <w:rPr>
          <w:rFonts w:ascii="Arial" w:hAnsi="Arial" w:cs="Arial"/>
          <w:sz w:val="22"/>
          <w:szCs w:val="22"/>
        </w:rPr>
        <w:t xml:space="preserve"> hold</w:t>
      </w:r>
      <w:r w:rsidR="00F725E8">
        <w:rPr>
          <w:rFonts w:ascii="Arial" w:hAnsi="Arial" w:cs="Arial"/>
          <w:sz w:val="22"/>
          <w:szCs w:val="22"/>
        </w:rPr>
        <w:t>s</w:t>
      </w:r>
      <w:r w:rsidRPr="00907C72">
        <w:rPr>
          <w:rFonts w:ascii="Arial" w:hAnsi="Arial" w:cs="Arial"/>
          <w:sz w:val="22"/>
          <w:szCs w:val="22"/>
        </w:rPr>
        <w:t xml:space="preserve"> them </w:t>
      </w:r>
      <w:r w:rsidR="00F725E8">
        <w:rPr>
          <w:rFonts w:ascii="Arial" w:hAnsi="Arial" w:cs="Arial"/>
          <w:sz w:val="22"/>
          <w:szCs w:val="22"/>
        </w:rPr>
        <w:t xml:space="preserve">as trustee </w:t>
      </w:r>
      <w:r w:rsidRPr="00907C72">
        <w:rPr>
          <w:rFonts w:ascii="Arial" w:hAnsi="Arial" w:cs="Arial"/>
          <w:sz w:val="22"/>
          <w:szCs w:val="22"/>
        </w:rPr>
        <w:t xml:space="preserve">on behalf of </w:t>
      </w:r>
      <w:r w:rsidR="00F725E8">
        <w:rPr>
          <w:rFonts w:ascii="Arial" w:hAnsi="Arial" w:cs="Arial"/>
          <w:sz w:val="22"/>
          <w:szCs w:val="22"/>
        </w:rPr>
        <w:t>each FAL trust</w:t>
      </w:r>
      <w:r w:rsidR="00835A56">
        <w:rPr>
          <w:rFonts w:ascii="Arial" w:hAnsi="Arial" w:cs="Arial"/>
          <w:sz w:val="22"/>
          <w:szCs w:val="22"/>
        </w:rPr>
        <w:t xml:space="preserve"> fund</w:t>
      </w:r>
      <w:r w:rsidR="00F725E8">
        <w:rPr>
          <w:rFonts w:ascii="Arial" w:hAnsi="Arial" w:cs="Arial"/>
          <w:sz w:val="22"/>
          <w:szCs w:val="22"/>
        </w:rPr>
        <w:t>.</w:t>
      </w:r>
      <w:r w:rsidR="00A215D4">
        <w:rPr>
          <w:rFonts w:ascii="Arial" w:hAnsi="Arial" w:cs="Arial"/>
          <w:sz w:val="22"/>
          <w:szCs w:val="22"/>
        </w:rPr>
        <w:t xml:space="preserve"> </w:t>
      </w:r>
      <w:r w:rsidRPr="00907C72">
        <w:rPr>
          <w:rFonts w:ascii="Arial" w:hAnsi="Arial" w:cs="Arial"/>
          <w:sz w:val="22"/>
          <w:szCs w:val="22"/>
        </w:rPr>
        <w:t xml:space="preserve">Our books and records constitute evidence of </w:t>
      </w:r>
      <w:r w:rsidR="00835A56">
        <w:rPr>
          <w:rFonts w:ascii="Arial" w:hAnsi="Arial" w:cs="Arial"/>
          <w:sz w:val="22"/>
          <w:szCs w:val="22"/>
        </w:rPr>
        <w:t xml:space="preserve">each </w:t>
      </w:r>
      <w:r w:rsidR="00190747">
        <w:rPr>
          <w:rFonts w:ascii="Arial" w:hAnsi="Arial" w:cs="Arial"/>
          <w:sz w:val="22"/>
          <w:szCs w:val="22"/>
        </w:rPr>
        <w:t xml:space="preserve">FAL trust fund’s </w:t>
      </w:r>
      <w:r w:rsidRPr="00907C72">
        <w:rPr>
          <w:rFonts w:ascii="Arial" w:hAnsi="Arial" w:cs="Arial"/>
          <w:sz w:val="22"/>
          <w:szCs w:val="22"/>
        </w:rPr>
        <w:t xml:space="preserve">beneficial interests in the securities. The ability to rely on such evidence would be particularly important on insolvency. In the case of either an ISA or an OSA, an insolvency practitioner may require a full reconciliation of the books and records in respect of all securities accounts prior to the release of any securities from those accounts.  </w:t>
      </w:r>
    </w:p>
    <w:p w14:paraId="02D0C736" w14:textId="77777777" w:rsidR="00384CC1" w:rsidRPr="00D17A50" w:rsidRDefault="00384CC1" w:rsidP="00384CC1">
      <w:pPr>
        <w:rPr>
          <w:rFonts w:ascii="Arial" w:hAnsi="Arial" w:cs="Arial"/>
          <w:sz w:val="22"/>
          <w:szCs w:val="22"/>
        </w:rPr>
      </w:pPr>
    </w:p>
    <w:p w14:paraId="6F27AC1E" w14:textId="026E9BE1" w:rsidR="006D5A56" w:rsidRPr="00D17A50" w:rsidRDefault="00384CC1" w:rsidP="005D3768">
      <w:pPr>
        <w:rPr>
          <w:rFonts w:ascii="Arial" w:hAnsi="Arial" w:cs="Arial"/>
          <w:i/>
          <w:sz w:val="22"/>
          <w:szCs w:val="22"/>
        </w:rPr>
      </w:pPr>
      <w:r w:rsidRPr="00D17A50">
        <w:rPr>
          <w:rFonts w:ascii="Arial" w:hAnsi="Arial" w:cs="Arial"/>
          <w:i/>
          <w:sz w:val="22"/>
          <w:szCs w:val="22"/>
        </w:rPr>
        <w:t xml:space="preserve">Insolvency </w:t>
      </w:r>
    </w:p>
    <w:p w14:paraId="11934F4B" w14:textId="77777777" w:rsidR="00384CC1" w:rsidRPr="00D17A50" w:rsidRDefault="00384CC1" w:rsidP="00384CC1">
      <w:pPr>
        <w:rPr>
          <w:rFonts w:ascii="Arial" w:hAnsi="Arial" w:cs="Arial"/>
          <w:sz w:val="22"/>
          <w:szCs w:val="22"/>
        </w:rPr>
      </w:pPr>
    </w:p>
    <w:p w14:paraId="50A214A6" w14:textId="504D2F78" w:rsidR="00384CC1" w:rsidRDefault="00384CC1" w:rsidP="00384CC1">
      <w:pPr>
        <w:rPr>
          <w:rFonts w:ascii="Arial" w:hAnsi="Arial" w:cs="Arial"/>
          <w:sz w:val="22"/>
          <w:szCs w:val="22"/>
        </w:rPr>
      </w:pPr>
      <w:r w:rsidRPr="00D17A50">
        <w:rPr>
          <w:rFonts w:ascii="Arial" w:hAnsi="Arial" w:cs="Arial"/>
          <w:sz w:val="22"/>
          <w:szCs w:val="22"/>
        </w:rPr>
        <w:t xml:space="preserve">The securities </w:t>
      </w:r>
      <w:r w:rsidR="00462F32" w:rsidRPr="00D17A50">
        <w:rPr>
          <w:rFonts w:ascii="Arial" w:hAnsi="Arial" w:cs="Arial"/>
          <w:sz w:val="22"/>
          <w:szCs w:val="22"/>
        </w:rPr>
        <w:t>held</w:t>
      </w:r>
      <w:r w:rsidRPr="00D17A50">
        <w:rPr>
          <w:rFonts w:ascii="Arial" w:hAnsi="Arial" w:cs="Arial"/>
          <w:sz w:val="22"/>
          <w:szCs w:val="22"/>
        </w:rPr>
        <w:t xml:space="preserve"> with the CSD are subject to the terms of the trust which the </w:t>
      </w:r>
      <w:r w:rsidR="00B13171" w:rsidRPr="00D17A50">
        <w:rPr>
          <w:rFonts w:ascii="Arial" w:hAnsi="Arial" w:cs="Arial"/>
          <w:sz w:val="22"/>
          <w:szCs w:val="22"/>
        </w:rPr>
        <w:t>Client</w:t>
      </w:r>
      <w:r w:rsidRPr="00D17A50">
        <w:rPr>
          <w:rFonts w:ascii="Arial" w:hAnsi="Arial" w:cs="Arial"/>
          <w:sz w:val="22"/>
          <w:szCs w:val="22"/>
        </w:rPr>
        <w:t xml:space="preserve"> has </w:t>
      </w:r>
      <w:proofErr w:type="gramStart"/>
      <w:r w:rsidRPr="00D17A50">
        <w:rPr>
          <w:rFonts w:ascii="Arial" w:hAnsi="Arial" w:cs="Arial"/>
          <w:sz w:val="22"/>
          <w:szCs w:val="22"/>
        </w:rPr>
        <w:t>entered into</w:t>
      </w:r>
      <w:proofErr w:type="gramEnd"/>
      <w:r w:rsidRPr="00D17A50">
        <w:rPr>
          <w:rFonts w:ascii="Arial" w:hAnsi="Arial" w:cs="Arial"/>
          <w:sz w:val="22"/>
          <w:szCs w:val="22"/>
        </w:rPr>
        <w:t xml:space="preserve"> as trustee. Accordingly, the securities would not form part of our estate on our insolvency but would continue to be held for the benefit of the beneficiaries under the terms of the relevant FAL trust fund unless the securities have been required to cover the losses of the beneficiary</w:t>
      </w:r>
      <w:r w:rsidR="00462F32" w:rsidRPr="00D17A50">
        <w:rPr>
          <w:rFonts w:ascii="Arial" w:hAnsi="Arial" w:cs="Arial"/>
          <w:sz w:val="22"/>
          <w:szCs w:val="22"/>
        </w:rPr>
        <w:t>, irrespective of whether those securities are or were held in ISAs or OSAs</w:t>
      </w:r>
      <w:r w:rsidRPr="00D17A50">
        <w:rPr>
          <w:rFonts w:ascii="Arial" w:hAnsi="Arial" w:cs="Arial"/>
          <w:sz w:val="22"/>
          <w:szCs w:val="22"/>
        </w:rPr>
        <w:t xml:space="preserve">. </w:t>
      </w:r>
    </w:p>
    <w:p w14:paraId="3C22E297" w14:textId="215B8616" w:rsidR="00173C2F" w:rsidRDefault="00173C2F" w:rsidP="00384CC1">
      <w:pPr>
        <w:rPr>
          <w:rFonts w:ascii="Arial" w:hAnsi="Arial" w:cs="Arial"/>
          <w:sz w:val="22"/>
          <w:szCs w:val="22"/>
        </w:rPr>
      </w:pPr>
    </w:p>
    <w:p w14:paraId="6CB71B89" w14:textId="71AC37A0" w:rsidR="00173C2F" w:rsidRDefault="00173C2F" w:rsidP="00173C2F">
      <w:pPr>
        <w:rPr>
          <w:rFonts w:ascii="Arial" w:hAnsi="Arial" w:cs="Arial"/>
          <w:i/>
          <w:sz w:val="22"/>
          <w:szCs w:val="22"/>
        </w:rPr>
      </w:pPr>
      <w:r w:rsidRPr="00173C2F">
        <w:rPr>
          <w:rFonts w:ascii="Arial" w:hAnsi="Arial" w:cs="Arial"/>
          <w:i/>
          <w:sz w:val="22"/>
          <w:szCs w:val="22"/>
        </w:rPr>
        <w:t>Application of English insolvency law</w:t>
      </w:r>
    </w:p>
    <w:p w14:paraId="76DEDF5F" w14:textId="77777777" w:rsidR="00173C2F" w:rsidRPr="00173C2F" w:rsidRDefault="00173C2F" w:rsidP="00190747">
      <w:pPr>
        <w:rPr>
          <w:rFonts w:ascii="Arial" w:hAnsi="Arial" w:cs="Arial"/>
          <w:i/>
          <w:sz w:val="22"/>
          <w:szCs w:val="22"/>
        </w:rPr>
      </w:pPr>
    </w:p>
    <w:p w14:paraId="47A84510" w14:textId="77777777" w:rsidR="00173C2F" w:rsidRPr="00173C2F" w:rsidRDefault="00173C2F" w:rsidP="00190747">
      <w:pPr>
        <w:rPr>
          <w:rFonts w:ascii="Arial" w:hAnsi="Arial" w:cs="Arial"/>
          <w:sz w:val="22"/>
          <w:szCs w:val="22"/>
        </w:rPr>
      </w:pPr>
      <w:r w:rsidRPr="00173C2F">
        <w:rPr>
          <w:rFonts w:ascii="Arial" w:hAnsi="Arial" w:cs="Arial"/>
          <w:sz w:val="22"/>
          <w:szCs w:val="22"/>
        </w:rPr>
        <w:t xml:space="preserve">Were we to become insolvent, our insolvency proceedings would take place in England and be governed by English insolvency </w:t>
      </w:r>
      <w:proofErr w:type="gramStart"/>
      <w:r w:rsidRPr="00173C2F">
        <w:rPr>
          <w:rFonts w:ascii="Arial" w:hAnsi="Arial" w:cs="Arial"/>
          <w:sz w:val="22"/>
          <w:szCs w:val="22"/>
        </w:rPr>
        <w:t>law.</w:t>
      </w:r>
      <w:proofErr w:type="gramEnd"/>
    </w:p>
    <w:p w14:paraId="3D1CBDAE" w14:textId="77777777" w:rsidR="00173C2F" w:rsidRDefault="00173C2F" w:rsidP="00173C2F">
      <w:pPr>
        <w:rPr>
          <w:rFonts w:ascii="Arial" w:hAnsi="Arial" w:cs="Arial"/>
          <w:sz w:val="22"/>
          <w:szCs w:val="22"/>
        </w:rPr>
      </w:pPr>
    </w:p>
    <w:p w14:paraId="1D6E5F0A" w14:textId="328F39A1" w:rsidR="00173C2F" w:rsidRPr="00173C2F" w:rsidRDefault="00173C2F" w:rsidP="00190747">
      <w:pPr>
        <w:rPr>
          <w:rFonts w:ascii="Arial" w:hAnsi="Arial" w:cs="Arial"/>
          <w:sz w:val="22"/>
          <w:szCs w:val="22"/>
        </w:rPr>
      </w:pPr>
      <w:r w:rsidRPr="00173C2F">
        <w:rPr>
          <w:rFonts w:ascii="Arial" w:hAnsi="Arial" w:cs="Arial"/>
          <w:sz w:val="22"/>
          <w:szCs w:val="22"/>
        </w:rPr>
        <w:t>Under English insolvency law, securities that we h</w:t>
      </w:r>
      <w:r w:rsidR="00190747">
        <w:rPr>
          <w:rFonts w:ascii="Arial" w:hAnsi="Arial" w:cs="Arial"/>
          <w:sz w:val="22"/>
          <w:szCs w:val="22"/>
        </w:rPr>
        <w:t>o</w:t>
      </w:r>
      <w:r w:rsidRPr="00173C2F">
        <w:rPr>
          <w:rFonts w:ascii="Arial" w:hAnsi="Arial" w:cs="Arial"/>
          <w:sz w:val="22"/>
          <w:szCs w:val="22"/>
        </w:rPr>
        <w:t xml:space="preserve">ld on behalf </w:t>
      </w:r>
      <w:proofErr w:type="gramStart"/>
      <w:r w:rsidRPr="00173C2F">
        <w:rPr>
          <w:rFonts w:ascii="Arial" w:hAnsi="Arial" w:cs="Arial"/>
          <w:sz w:val="22"/>
          <w:szCs w:val="22"/>
        </w:rPr>
        <w:t xml:space="preserve">of </w:t>
      </w:r>
      <w:r w:rsidR="00D4365F">
        <w:rPr>
          <w:rFonts w:ascii="Arial" w:hAnsi="Arial" w:cs="Arial"/>
          <w:sz w:val="22"/>
          <w:szCs w:val="22"/>
        </w:rPr>
        <w:t xml:space="preserve"> each</w:t>
      </w:r>
      <w:proofErr w:type="gramEnd"/>
      <w:r w:rsidR="00D4365F">
        <w:rPr>
          <w:rFonts w:ascii="Arial" w:hAnsi="Arial" w:cs="Arial"/>
          <w:sz w:val="22"/>
          <w:szCs w:val="22"/>
        </w:rPr>
        <w:t xml:space="preserve"> FAL trust</w:t>
      </w:r>
      <w:r w:rsidRPr="00173C2F">
        <w:rPr>
          <w:rFonts w:ascii="Arial" w:hAnsi="Arial" w:cs="Arial"/>
          <w:sz w:val="22"/>
          <w:szCs w:val="22"/>
        </w:rPr>
        <w:t xml:space="preserve"> would not form part of our estate on insolvency for distribution to creditors </w:t>
      </w:r>
    </w:p>
    <w:p w14:paraId="7457EF74" w14:textId="77777777" w:rsidR="00173C2F" w:rsidRDefault="00173C2F" w:rsidP="00173C2F">
      <w:pPr>
        <w:rPr>
          <w:rFonts w:ascii="Arial" w:hAnsi="Arial" w:cs="Arial"/>
          <w:sz w:val="22"/>
          <w:szCs w:val="22"/>
        </w:rPr>
      </w:pPr>
    </w:p>
    <w:p w14:paraId="2E40CF83" w14:textId="663E79F7" w:rsidR="00173C2F" w:rsidRPr="00173C2F" w:rsidRDefault="00173C2F" w:rsidP="00190747">
      <w:pPr>
        <w:rPr>
          <w:rFonts w:ascii="Arial" w:hAnsi="Arial" w:cs="Arial"/>
          <w:sz w:val="22"/>
          <w:szCs w:val="22"/>
        </w:rPr>
      </w:pPr>
      <w:r w:rsidRPr="00173C2F">
        <w:rPr>
          <w:rFonts w:ascii="Arial" w:hAnsi="Arial" w:cs="Arial"/>
          <w:sz w:val="22"/>
          <w:szCs w:val="22"/>
        </w:rPr>
        <w:t xml:space="preserve">As a result, it would not be necessary for </w:t>
      </w:r>
      <w:r w:rsidR="00D4365F">
        <w:rPr>
          <w:rFonts w:ascii="Arial" w:hAnsi="Arial" w:cs="Arial"/>
          <w:sz w:val="22"/>
          <w:szCs w:val="22"/>
        </w:rPr>
        <w:t>beneficiaries of a FAL trust</w:t>
      </w:r>
      <w:r w:rsidRPr="00173C2F">
        <w:rPr>
          <w:rFonts w:ascii="Arial" w:hAnsi="Arial" w:cs="Arial"/>
          <w:sz w:val="22"/>
          <w:szCs w:val="22"/>
        </w:rPr>
        <w:t xml:space="preserve"> to make a claim in our insolvency as general unsecured creditor</w:t>
      </w:r>
      <w:r w:rsidR="00190747">
        <w:rPr>
          <w:rFonts w:ascii="Arial" w:hAnsi="Arial" w:cs="Arial"/>
          <w:sz w:val="22"/>
          <w:szCs w:val="22"/>
        </w:rPr>
        <w:t>s</w:t>
      </w:r>
      <w:r w:rsidRPr="00173C2F">
        <w:rPr>
          <w:rFonts w:ascii="Arial" w:hAnsi="Arial" w:cs="Arial"/>
          <w:sz w:val="22"/>
          <w:szCs w:val="22"/>
        </w:rPr>
        <w:t xml:space="preserve"> in respect of securities</w:t>
      </w:r>
      <w:r w:rsidR="00D4365F">
        <w:rPr>
          <w:rFonts w:ascii="Arial" w:hAnsi="Arial" w:cs="Arial"/>
          <w:sz w:val="22"/>
          <w:szCs w:val="22"/>
        </w:rPr>
        <w:t xml:space="preserve"> being held by us</w:t>
      </w:r>
      <w:r w:rsidRPr="00173C2F">
        <w:rPr>
          <w:rFonts w:ascii="Arial" w:hAnsi="Arial" w:cs="Arial"/>
          <w:sz w:val="22"/>
          <w:szCs w:val="22"/>
        </w:rPr>
        <w:t xml:space="preserve">.  </w:t>
      </w:r>
      <w:r w:rsidR="00D4365F">
        <w:rPr>
          <w:rFonts w:ascii="Arial" w:hAnsi="Arial" w:cs="Arial"/>
          <w:sz w:val="22"/>
          <w:szCs w:val="22"/>
        </w:rPr>
        <w:t xml:space="preserve">This applies whether securities are held in an ISA or an OSA.  </w:t>
      </w:r>
    </w:p>
    <w:p w14:paraId="29239F3F" w14:textId="77777777" w:rsidR="00D4365F" w:rsidRDefault="00D4365F">
      <w:pPr>
        <w:rPr>
          <w:rFonts w:ascii="Arial" w:hAnsi="Arial" w:cs="Arial"/>
          <w:sz w:val="22"/>
          <w:szCs w:val="22"/>
        </w:rPr>
      </w:pPr>
    </w:p>
    <w:p w14:paraId="6396A3C8" w14:textId="775BDD9C" w:rsidR="00D4365F" w:rsidRDefault="00D4365F" w:rsidP="00D4365F">
      <w:pPr>
        <w:rPr>
          <w:rFonts w:ascii="Arial" w:hAnsi="Arial" w:cs="Arial"/>
          <w:sz w:val="22"/>
          <w:szCs w:val="22"/>
        </w:rPr>
      </w:pPr>
      <w:r>
        <w:rPr>
          <w:rFonts w:ascii="Arial" w:hAnsi="Arial" w:cs="Arial"/>
          <w:sz w:val="22"/>
          <w:szCs w:val="22"/>
        </w:rPr>
        <w:t xml:space="preserve">If there is a shortfall following our insolvency there may be a difference in the treatment of securities held in an ISA and an OSA.  For these purposes a shortfall arises where there is a discrepancy between the amount of a particular security credited to the ISA or OSA and the entitlement of the Client as trustee of a specific FAL trust fund to that security, </w:t>
      </w:r>
    </w:p>
    <w:p w14:paraId="5BB32512" w14:textId="77777777" w:rsidR="00D4365F" w:rsidRDefault="00D4365F" w:rsidP="00D4365F">
      <w:pPr>
        <w:rPr>
          <w:rFonts w:ascii="Arial" w:hAnsi="Arial" w:cs="Arial"/>
          <w:sz w:val="22"/>
          <w:szCs w:val="22"/>
        </w:rPr>
      </w:pPr>
    </w:p>
    <w:p w14:paraId="12ABBC0E" w14:textId="2AA7873D" w:rsidR="00D4365F" w:rsidRDefault="00D4365F" w:rsidP="00D4365F">
      <w:pPr>
        <w:rPr>
          <w:rFonts w:ascii="Arial" w:hAnsi="Arial" w:cs="Arial"/>
          <w:sz w:val="22"/>
          <w:szCs w:val="22"/>
        </w:rPr>
      </w:pPr>
      <w:r>
        <w:rPr>
          <w:rFonts w:ascii="Arial" w:hAnsi="Arial" w:cs="Arial"/>
          <w:sz w:val="22"/>
          <w:szCs w:val="22"/>
        </w:rPr>
        <w:t xml:space="preserve">Where a shortfall arises in relation to a security held in an ISA then the shortfall will be borne solely by </w:t>
      </w:r>
      <w:r w:rsidR="00190747">
        <w:rPr>
          <w:rFonts w:ascii="Arial" w:hAnsi="Arial" w:cs="Arial"/>
          <w:sz w:val="22"/>
          <w:szCs w:val="22"/>
        </w:rPr>
        <w:t xml:space="preserve">the </w:t>
      </w:r>
      <w:r>
        <w:rPr>
          <w:rFonts w:ascii="Arial" w:hAnsi="Arial" w:cs="Arial"/>
          <w:sz w:val="22"/>
          <w:szCs w:val="22"/>
        </w:rPr>
        <w:t>specific FAL trust fund whose securities are credited to the ISA.</w:t>
      </w:r>
      <w:r w:rsidR="00190747">
        <w:rPr>
          <w:rFonts w:ascii="Arial" w:hAnsi="Arial" w:cs="Arial"/>
          <w:sz w:val="22"/>
          <w:szCs w:val="22"/>
        </w:rPr>
        <w:t xml:space="preserve">  </w:t>
      </w:r>
      <w:r>
        <w:rPr>
          <w:rFonts w:ascii="Arial" w:hAnsi="Arial" w:cs="Arial"/>
          <w:sz w:val="22"/>
          <w:szCs w:val="22"/>
        </w:rPr>
        <w:t xml:space="preserve">Where a shortfall arises in relation to a security held in an OSA, then the shortfall is likely to be shared between each FAL trust fund which has securities of that kind credited to the OSA.  Each FAL trust fund’s share of the shortfall is likely to be calculated based on the proportion of that FAL trust fund’s entitlement to securities </w:t>
      </w:r>
      <w:r w:rsidR="00190747">
        <w:rPr>
          <w:rFonts w:ascii="Arial" w:hAnsi="Arial" w:cs="Arial"/>
          <w:sz w:val="22"/>
          <w:szCs w:val="22"/>
        </w:rPr>
        <w:t xml:space="preserve">in the OSA </w:t>
      </w:r>
      <w:r>
        <w:rPr>
          <w:rFonts w:ascii="Arial" w:hAnsi="Arial" w:cs="Arial"/>
          <w:sz w:val="22"/>
          <w:szCs w:val="22"/>
        </w:rPr>
        <w:t xml:space="preserve">in respect of which the shortfall exists.   It may be a </w:t>
      </w:r>
      <w:proofErr w:type="gramStart"/>
      <w:r>
        <w:rPr>
          <w:rFonts w:ascii="Arial" w:hAnsi="Arial" w:cs="Arial"/>
          <w:sz w:val="22"/>
          <w:szCs w:val="22"/>
        </w:rPr>
        <w:t>time consuming</w:t>
      </w:r>
      <w:proofErr w:type="gramEnd"/>
      <w:r>
        <w:rPr>
          <w:rFonts w:ascii="Arial" w:hAnsi="Arial" w:cs="Arial"/>
          <w:sz w:val="22"/>
          <w:szCs w:val="22"/>
        </w:rPr>
        <w:t xml:space="preserve"> process to determine the entitlement of each FAL trust fund, which could give rise to delays in the return of securities.</w:t>
      </w:r>
    </w:p>
    <w:p w14:paraId="4F33BB8E" w14:textId="77777777" w:rsidR="00173C2F" w:rsidRPr="00D17A50" w:rsidRDefault="00173C2F" w:rsidP="00384CC1">
      <w:pPr>
        <w:rPr>
          <w:rFonts w:ascii="Arial" w:hAnsi="Arial" w:cs="Arial"/>
          <w:sz w:val="22"/>
          <w:szCs w:val="22"/>
        </w:rPr>
      </w:pPr>
    </w:p>
    <w:p w14:paraId="32FD505B" w14:textId="677B5C4E" w:rsidR="000916FA" w:rsidRPr="00D17A50" w:rsidRDefault="000916FA" w:rsidP="000916FA">
      <w:pPr>
        <w:rPr>
          <w:rFonts w:ascii="Arial" w:hAnsi="Arial" w:cs="Arial"/>
          <w:i/>
          <w:sz w:val="22"/>
          <w:szCs w:val="22"/>
        </w:rPr>
      </w:pPr>
      <w:r w:rsidRPr="00D17A50">
        <w:rPr>
          <w:rFonts w:ascii="Arial" w:hAnsi="Arial" w:cs="Arial"/>
          <w:i/>
          <w:sz w:val="22"/>
          <w:szCs w:val="22"/>
        </w:rPr>
        <w:t xml:space="preserve">Security interest granted to CSD </w:t>
      </w:r>
    </w:p>
    <w:p w14:paraId="02910CBC" w14:textId="77777777" w:rsidR="000916FA" w:rsidRPr="00D17A50" w:rsidRDefault="000916FA" w:rsidP="000916FA">
      <w:pPr>
        <w:rPr>
          <w:rFonts w:ascii="Arial" w:hAnsi="Arial" w:cs="Arial"/>
          <w:i/>
          <w:sz w:val="22"/>
          <w:szCs w:val="22"/>
        </w:rPr>
      </w:pPr>
    </w:p>
    <w:p w14:paraId="3B007DD6" w14:textId="3AD4352E" w:rsidR="000916FA" w:rsidRPr="00D17A50" w:rsidRDefault="000916FA" w:rsidP="000916FA">
      <w:pPr>
        <w:rPr>
          <w:rFonts w:ascii="Arial" w:hAnsi="Arial" w:cs="Arial"/>
          <w:sz w:val="22"/>
          <w:szCs w:val="22"/>
        </w:rPr>
      </w:pPr>
      <w:r w:rsidRPr="00D17A50">
        <w:rPr>
          <w:rFonts w:ascii="Arial" w:hAnsi="Arial" w:cs="Arial"/>
          <w:sz w:val="22"/>
          <w:szCs w:val="22"/>
        </w:rPr>
        <w:t xml:space="preserve">Whether or not the CSD may benefit from a security interest will be regulated by the CSD's own rules. Such rules may also regulate the CSD's approach to enforcement of such </w:t>
      </w:r>
      <w:r w:rsidRPr="00D17A50">
        <w:rPr>
          <w:rFonts w:ascii="Arial" w:hAnsi="Arial" w:cs="Arial"/>
          <w:sz w:val="22"/>
          <w:szCs w:val="22"/>
        </w:rPr>
        <w:lastRenderedPageBreak/>
        <w:t xml:space="preserve">security interest. Should the CSD benefit from a security interest over securities held for a </w:t>
      </w:r>
      <w:r w:rsidR="00B13171" w:rsidRPr="00D17A50">
        <w:rPr>
          <w:rFonts w:ascii="Arial" w:hAnsi="Arial" w:cs="Arial"/>
          <w:sz w:val="22"/>
          <w:szCs w:val="22"/>
        </w:rPr>
        <w:t>Client</w:t>
      </w:r>
      <w:r w:rsidRPr="00D17A50">
        <w:rPr>
          <w:rFonts w:ascii="Arial" w:hAnsi="Arial" w:cs="Arial"/>
          <w:sz w:val="22"/>
          <w:szCs w:val="22"/>
        </w:rPr>
        <w:t xml:space="preserve">, there could be a delay in the return of securities to a </w:t>
      </w:r>
      <w:r w:rsidR="00B13171" w:rsidRPr="00D17A50">
        <w:rPr>
          <w:rFonts w:ascii="Arial" w:hAnsi="Arial" w:cs="Arial"/>
          <w:sz w:val="22"/>
          <w:szCs w:val="22"/>
        </w:rPr>
        <w:t>Client</w:t>
      </w:r>
      <w:r w:rsidRPr="00D17A50">
        <w:rPr>
          <w:rFonts w:ascii="Arial" w:hAnsi="Arial" w:cs="Arial"/>
          <w:sz w:val="22"/>
          <w:szCs w:val="22"/>
        </w:rPr>
        <w:t xml:space="preserve"> (and a possible shortfall) in the event that we failed to satisfy our obligations to the CSD and the security interest was enforced.  This applies whether the securities are held in an ISA or an OSA.  However, in practice, we would expect that a CSD would first seek recourse to any securities held in our own proprietary accounts to satisfy our obligations and only then make use of securities in </w:t>
      </w:r>
      <w:r w:rsidR="00B13171" w:rsidRPr="00D17A50">
        <w:rPr>
          <w:rFonts w:ascii="Arial" w:hAnsi="Arial" w:cs="Arial"/>
          <w:sz w:val="22"/>
          <w:szCs w:val="22"/>
        </w:rPr>
        <w:t>Client</w:t>
      </w:r>
      <w:r w:rsidRPr="00D17A50">
        <w:rPr>
          <w:rFonts w:ascii="Arial" w:hAnsi="Arial" w:cs="Arial"/>
          <w:sz w:val="22"/>
          <w:szCs w:val="22"/>
        </w:rPr>
        <w:t xml:space="preserve"> accounts.  We would also expect a CSD to enforce its security rateably across </w:t>
      </w:r>
      <w:r w:rsidR="00B13171" w:rsidRPr="00D17A50">
        <w:rPr>
          <w:rFonts w:ascii="Arial" w:hAnsi="Arial" w:cs="Arial"/>
          <w:sz w:val="22"/>
          <w:szCs w:val="22"/>
        </w:rPr>
        <w:t>Client</w:t>
      </w:r>
      <w:r w:rsidRPr="00D17A50">
        <w:rPr>
          <w:rFonts w:ascii="Arial" w:hAnsi="Arial" w:cs="Arial"/>
          <w:sz w:val="22"/>
          <w:szCs w:val="22"/>
        </w:rPr>
        <w:t xml:space="preserve"> accounts held with it. </w:t>
      </w:r>
    </w:p>
    <w:p w14:paraId="6EF3DEA9" w14:textId="77777777" w:rsidR="00513952" w:rsidRPr="00D17A50" w:rsidRDefault="00513952" w:rsidP="000916FA">
      <w:pPr>
        <w:rPr>
          <w:rFonts w:ascii="Arial" w:hAnsi="Arial" w:cs="Arial"/>
          <w:sz w:val="22"/>
          <w:szCs w:val="22"/>
        </w:rPr>
      </w:pPr>
    </w:p>
    <w:p w14:paraId="1999D770" w14:textId="4CB44FE7" w:rsidR="000916FA" w:rsidRPr="00D17A50" w:rsidRDefault="000916FA" w:rsidP="000916FA">
      <w:pPr>
        <w:rPr>
          <w:rFonts w:ascii="Arial" w:hAnsi="Arial" w:cs="Arial"/>
          <w:i/>
          <w:sz w:val="22"/>
          <w:szCs w:val="22"/>
        </w:rPr>
      </w:pPr>
      <w:r w:rsidRPr="00D17A50">
        <w:rPr>
          <w:rFonts w:ascii="Arial" w:hAnsi="Arial" w:cs="Arial"/>
          <w:i/>
          <w:sz w:val="22"/>
          <w:szCs w:val="22"/>
        </w:rPr>
        <w:t xml:space="preserve">Corporate actions </w:t>
      </w:r>
    </w:p>
    <w:p w14:paraId="3C6A3998" w14:textId="77777777" w:rsidR="00640DCE" w:rsidRPr="00D17A50" w:rsidRDefault="00640DCE" w:rsidP="000916FA">
      <w:pPr>
        <w:rPr>
          <w:rFonts w:ascii="Arial" w:hAnsi="Arial" w:cs="Arial"/>
          <w:sz w:val="22"/>
          <w:szCs w:val="22"/>
        </w:rPr>
      </w:pPr>
    </w:p>
    <w:p w14:paraId="6FEEC74D" w14:textId="77FBE9C0" w:rsidR="000916FA" w:rsidRDefault="000916FA" w:rsidP="0017573C">
      <w:pPr>
        <w:rPr>
          <w:rFonts w:ascii="Arial" w:hAnsi="Arial" w:cs="Arial"/>
          <w:sz w:val="22"/>
          <w:szCs w:val="22"/>
        </w:rPr>
      </w:pPr>
      <w:r w:rsidRPr="00D17A50">
        <w:rPr>
          <w:rFonts w:ascii="Arial" w:hAnsi="Arial" w:cs="Arial"/>
          <w:sz w:val="22"/>
          <w:szCs w:val="22"/>
        </w:rPr>
        <w:t xml:space="preserve">Where securities are held in an ISA </w:t>
      </w:r>
      <w:r w:rsidR="001F13CA" w:rsidRPr="00D17A50">
        <w:rPr>
          <w:rFonts w:ascii="Arial" w:hAnsi="Arial" w:cs="Arial"/>
          <w:sz w:val="22"/>
          <w:szCs w:val="22"/>
        </w:rPr>
        <w:t xml:space="preserve">or an OSA </w:t>
      </w:r>
      <w:r w:rsidRPr="00D17A50">
        <w:rPr>
          <w:rFonts w:ascii="Arial" w:hAnsi="Arial" w:cs="Arial"/>
          <w:sz w:val="22"/>
          <w:szCs w:val="22"/>
        </w:rPr>
        <w:t xml:space="preserve">and the </w:t>
      </w:r>
      <w:r w:rsidR="00B13171" w:rsidRPr="00D17A50">
        <w:rPr>
          <w:rFonts w:ascii="Arial" w:hAnsi="Arial" w:cs="Arial"/>
          <w:sz w:val="22"/>
          <w:szCs w:val="22"/>
        </w:rPr>
        <w:t>Client</w:t>
      </w:r>
      <w:r w:rsidRPr="00D17A50">
        <w:rPr>
          <w:rFonts w:ascii="Arial" w:hAnsi="Arial" w:cs="Arial"/>
          <w:sz w:val="22"/>
          <w:szCs w:val="22"/>
        </w:rPr>
        <w:t xml:space="preserve"> is entitled to a fractional entitlement on a corporate action, it is possible that the </w:t>
      </w:r>
      <w:r w:rsidR="00B13171" w:rsidRPr="00D17A50">
        <w:rPr>
          <w:rFonts w:ascii="Arial" w:hAnsi="Arial" w:cs="Arial"/>
          <w:sz w:val="22"/>
          <w:szCs w:val="22"/>
        </w:rPr>
        <w:t>Client</w:t>
      </w:r>
      <w:r w:rsidRPr="00D17A50">
        <w:rPr>
          <w:rFonts w:ascii="Arial" w:hAnsi="Arial" w:cs="Arial"/>
          <w:sz w:val="22"/>
          <w:szCs w:val="22"/>
        </w:rPr>
        <w:t xml:space="preserve"> would not in practice benefit from that fractional entitlement</w:t>
      </w:r>
      <w:r w:rsidR="001F13CA" w:rsidRPr="00D17A50">
        <w:rPr>
          <w:rFonts w:ascii="Arial" w:hAnsi="Arial" w:cs="Arial"/>
          <w:sz w:val="22"/>
          <w:szCs w:val="22"/>
        </w:rPr>
        <w:t>.</w:t>
      </w:r>
    </w:p>
    <w:p w14:paraId="093AFE7E" w14:textId="3741E092" w:rsidR="001F3529" w:rsidRDefault="001F3529" w:rsidP="0017573C">
      <w:pPr>
        <w:rPr>
          <w:rFonts w:ascii="Arial" w:hAnsi="Arial" w:cs="Arial"/>
          <w:sz w:val="22"/>
          <w:szCs w:val="22"/>
        </w:rPr>
      </w:pPr>
    </w:p>
    <w:p w14:paraId="3263FA99" w14:textId="04FB5B53" w:rsidR="000916FA" w:rsidRPr="00D17A50" w:rsidRDefault="000916FA" w:rsidP="003560FD">
      <w:pPr>
        <w:pStyle w:val="ListParagraph"/>
        <w:numPr>
          <w:ilvl w:val="0"/>
          <w:numId w:val="44"/>
        </w:numPr>
        <w:ind w:hanging="720"/>
        <w:rPr>
          <w:rFonts w:ascii="Arial" w:hAnsi="Arial" w:cs="Arial"/>
          <w:b/>
          <w:sz w:val="22"/>
          <w:szCs w:val="22"/>
        </w:rPr>
      </w:pPr>
      <w:r w:rsidRPr="00D17A50">
        <w:rPr>
          <w:rFonts w:ascii="Arial" w:hAnsi="Arial" w:cs="Arial"/>
          <w:b/>
          <w:sz w:val="22"/>
          <w:szCs w:val="22"/>
        </w:rPr>
        <w:t xml:space="preserve">CSD disclosures  </w:t>
      </w:r>
    </w:p>
    <w:p w14:paraId="23FEB2B3" w14:textId="77777777" w:rsidR="000916FA" w:rsidRPr="00D17A50" w:rsidRDefault="000916FA" w:rsidP="000916FA">
      <w:pPr>
        <w:rPr>
          <w:rFonts w:ascii="Arial" w:hAnsi="Arial" w:cs="Arial"/>
          <w:sz w:val="22"/>
          <w:szCs w:val="22"/>
        </w:rPr>
      </w:pPr>
    </w:p>
    <w:p w14:paraId="40919141" w14:textId="06AC8124" w:rsidR="000916FA" w:rsidRPr="00D17A50" w:rsidRDefault="000916FA" w:rsidP="000916FA">
      <w:pPr>
        <w:rPr>
          <w:rFonts w:ascii="Arial" w:hAnsi="Arial" w:cs="Arial"/>
          <w:sz w:val="22"/>
          <w:szCs w:val="22"/>
        </w:rPr>
      </w:pPr>
      <w:r w:rsidRPr="00D17A50">
        <w:rPr>
          <w:rFonts w:ascii="Arial" w:hAnsi="Arial" w:cs="Arial"/>
          <w:sz w:val="22"/>
          <w:szCs w:val="22"/>
        </w:rPr>
        <w:t xml:space="preserve">Where available, set out below are links to the disclosures which have been made by the CSDs in which we are participants as of the date of this document.  </w:t>
      </w:r>
    </w:p>
    <w:p w14:paraId="74ABE987" w14:textId="77777777" w:rsidR="000916FA" w:rsidRPr="00D17A50" w:rsidRDefault="000916FA" w:rsidP="000916FA">
      <w:pPr>
        <w:rPr>
          <w:rFonts w:ascii="Arial" w:hAnsi="Arial" w:cs="Arial"/>
          <w:sz w:val="22"/>
          <w:szCs w:val="22"/>
        </w:rPr>
      </w:pPr>
    </w:p>
    <w:p w14:paraId="3E2BD3AA" w14:textId="03BA69B9" w:rsidR="000916FA" w:rsidRPr="00D17A50" w:rsidRDefault="000916FA" w:rsidP="000916FA">
      <w:pPr>
        <w:rPr>
          <w:rFonts w:ascii="Arial" w:hAnsi="Arial" w:cs="Arial"/>
          <w:sz w:val="22"/>
          <w:szCs w:val="22"/>
        </w:rPr>
      </w:pPr>
      <w:r w:rsidRPr="00D17A50">
        <w:rPr>
          <w:rFonts w:ascii="Arial" w:hAnsi="Arial" w:cs="Arial"/>
          <w:sz w:val="22"/>
          <w:szCs w:val="22"/>
        </w:rPr>
        <w:t xml:space="preserve">These disclosures have been provided by the relevant CSDs. We have not investigated or performed due diligence on the disclosures and </w:t>
      </w:r>
      <w:r w:rsidR="00B13171" w:rsidRPr="00D17A50">
        <w:rPr>
          <w:rFonts w:ascii="Arial" w:hAnsi="Arial" w:cs="Arial"/>
          <w:sz w:val="22"/>
          <w:szCs w:val="22"/>
        </w:rPr>
        <w:t>Client</w:t>
      </w:r>
      <w:r w:rsidRPr="00D17A50">
        <w:rPr>
          <w:rFonts w:ascii="Arial" w:hAnsi="Arial" w:cs="Arial"/>
          <w:sz w:val="22"/>
          <w:szCs w:val="22"/>
        </w:rPr>
        <w:t>s rely on the CSD disclosures at their own risk</w:t>
      </w:r>
    </w:p>
    <w:p w14:paraId="2636103D" w14:textId="0319B8CC" w:rsidR="004B09D2" w:rsidRPr="00D17A50" w:rsidRDefault="004B09D2" w:rsidP="000916FA">
      <w:pPr>
        <w:rPr>
          <w:rFonts w:ascii="Arial" w:hAnsi="Arial" w:cs="Arial"/>
          <w:sz w:val="22"/>
          <w:szCs w:val="22"/>
        </w:rPr>
      </w:pPr>
    </w:p>
    <w:p w14:paraId="32BFEEB7" w14:textId="69200FD6" w:rsidR="00082F6B" w:rsidRPr="00D17A50" w:rsidRDefault="00082F6B" w:rsidP="000916FA">
      <w:pPr>
        <w:rPr>
          <w:rFonts w:ascii="Arial" w:hAnsi="Arial" w:cs="Arial"/>
          <w:sz w:val="22"/>
          <w:szCs w:val="22"/>
        </w:rPr>
      </w:pPr>
      <w:r w:rsidRPr="00D17A50">
        <w:rPr>
          <w:rFonts w:ascii="Arial" w:hAnsi="Arial" w:cs="Arial"/>
          <w:sz w:val="22"/>
          <w:szCs w:val="22"/>
        </w:rPr>
        <w:t>https://www.euroclear.com/dam/DisclosureFrameworks/MA3023-Disclosure-Framework-EUI.pdf</w:t>
      </w:r>
    </w:p>
    <w:p w14:paraId="387D6AD5" w14:textId="77777777" w:rsidR="000916FA" w:rsidRPr="00D17A50" w:rsidRDefault="000916FA" w:rsidP="000916FA">
      <w:pPr>
        <w:rPr>
          <w:rFonts w:ascii="Arial" w:hAnsi="Arial" w:cs="Arial"/>
          <w:sz w:val="22"/>
          <w:szCs w:val="22"/>
        </w:rPr>
      </w:pPr>
    </w:p>
    <w:p w14:paraId="4876DFC0" w14:textId="3E78433F" w:rsidR="000916FA" w:rsidRPr="00D17A50" w:rsidRDefault="000916FA" w:rsidP="000916FA">
      <w:pPr>
        <w:rPr>
          <w:rFonts w:ascii="Arial" w:hAnsi="Arial" w:cs="Arial"/>
          <w:b/>
          <w:sz w:val="22"/>
          <w:szCs w:val="22"/>
        </w:rPr>
      </w:pPr>
      <w:r w:rsidRPr="00D17A50">
        <w:rPr>
          <w:rFonts w:ascii="Arial" w:hAnsi="Arial" w:cs="Arial"/>
          <w:b/>
          <w:sz w:val="22"/>
          <w:szCs w:val="22"/>
        </w:rPr>
        <w:t xml:space="preserve">GLOSSARY </w:t>
      </w:r>
    </w:p>
    <w:p w14:paraId="26B8A7DF" w14:textId="77777777" w:rsidR="000916FA" w:rsidRPr="00D17A50" w:rsidRDefault="000916FA" w:rsidP="000916FA">
      <w:pPr>
        <w:rPr>
          <w:rFonts w:ascii="Arial" w:hAnsi="Arial" w:cs="Arial"/>
          <w:sz w:val="22"/>
          <w:szCs w:val="22"/>
        </w:rPr>
      </w:pPr>
    </w:p>
    <w:p w14:paraId="1372AD28" w14:textId="2DED8D24" w:rsidR="000916FA" w:rsidRPr="00D17A50" w:rsidRDefault="000916FA" w:rsidP="000916FA">
      <w:pPr>
        <w:rPr>
          <w:rFonts w:ascii="Arial" w:hAnsi="Arial" w:cs="Arial"/>
          <w:sz w:val="22"/>
          <w:szCs w:val="22"/>
        </w:rPr>
      </w:pPr>
      <w:r w:rsidRPr="00D17A50">
        <w:rPr>
          <w:rFonts w:ascii="Arial" w:hAnsi="Arial" w:cs="Arial"/>
          <w:sz w:val="22"/>
          <w:szCs w:val="22"/>
        </w:rPr>
        <w:t xml:space="preserve">Central Securities Depository or CSD is an entity which records legal entitlements to dematerialised securities and operates a system for the settlement of transactions in those securities.  </w:t>
      </w:r>
    </w:p>
    <w:p w14:paraId="0D4C6C02" w14:textId="77777777" w:rsidR="000916FA" w:rsidRPr="00D17A50" w:rsidRDefault="000916FA" w:rsidP="000916FA">
      <w:pPr>
        <w:rPr>
          <w:rFonts w:ascii="Arial" w:hAnsi="Arial" w:cs="Arial"/>
          <w:sz w:val="22"/>
          <w:szCs w:val="22"/>
        </w:rPr>
      </w:pPr>
    </w:p>
    <w:p w14:paraId="31699A4B" w14:textId="47D8389B" w:rsidR="000916FA" w:rsidRPr="00D17A50" w:rsidRDefault="000916FA" w:rsidP="000916FA">
      <w:pPr>
        <w:rPr>
          <w:rFonts w:ascii="Arial" w:hAnsi="Arial" w:cs="Arial"/>
          <w:sz w:val="22"/>
          <w:szCs w:val="22"/>
        </w:rPr>
      </w:pPr>
      <w:r w:rsidRPr="00D17A50">
        <w:rPr>
          <w:rFonts w:ascii="Arial" w:hAnsi="Arial" w:cs="Arial"/>
          <w:sz w:val="22"/>
          <w:szCs w:val="22"/>
        </w:rPr>
        <w:t xml:space="preserve">Central Securities Depositories Regulation or CSDR refers to EU Regulation 909/2014 which sets out rules applicable to CSDs and their participants.    </w:t>
      </w:r>
    </w:p>
    <w:p w14:paraId="4D006EC5" w14:textId="77777777" w:rsidR="000916FA" w:rsidRPr="00D17A50" w:rsidRDefault="000916FA" w:rsidP="000916FA">
      <w:pPr>
        <w:rPr>
          <w:rFonts w:ascii="Arial" w:hAnsi="Arial" w:cs="Arial"/>
          <w:sz w:val="22"/>
          <w:szCs w:val="22"/>
        </w:rPr>
      </w:pPr>
    </w:p>
    <w:p w14:paraId="1150165E" w14:textId="0A6DFF71" w:rsidR="000916FA" w:rsidRPr="00D17A50" w:rsidRDefault="000916FA" w:rsidP="000916FA">
      <w:pPr>
        <w:rPr>
          <w:rFonts w:ascii="Arial" w:hAnsi="Arial" w:cs="Arial"/>
          <w:sz w:val="22"/>
          <w:szCs w:val="22"/>
        </w:rPr>
      </w:pPr>
      <w:r w:rsidRPr="00D17A50">
        <w:rPr>
          <w:rFonts w:ascii="Arial" w:hAnsi="Arial" w:cs="Arial"/>
          <w:sz w:val="22"/>
          <w:szCs w:val="22"/>
        </w:rPr>
        <w:t>Direct participant means a participant in a transfer system that can perform all activities allowed in the system without using an intermediary (including</w:t>
      </w:r>
      <w:proofErr w:type="gramStart"/>
      <w:r w:rsidRPr="00D17A50">
        <w:rPr>
          <w:rFonts w:ascii="Arial" w:hAnsi="Arial" w:cs="Arial"/>
          <w:sz w:val="22"/>
          <w:szCs w:val="22"/>
        </w:rPr>
        <w:t>, in particular, the</w:t>
      </w:r>
      <w:proofErr w:type="gramEnd"/>
      <w:r w:rsidRPr="00D17A50">
        <w:rPr>
          <w:rFonts w:ascii="Arial" w:hAnsi="Arial" w:cs="Arial"/>
          <w:sz w:val="22"/>
          <w:szCs w:val="22"/>
        </w:rPr>
        <w:t xml:space="preserve"> direct inputting of orders in the system and the performance of settlement operations)</w:t>
      </w:r>
    </w:p>
    <w:p w14:paraId="62AD521D" w14:textId="77777777" w:rsidR="000916FA" w:rsidRPr="00D17A50" w:rsidRDefault="000916FA" w:rsidP="000916FA">
      <w:pPr>
        <w:rPr>
          <w:rFonts w:ascii="Arial" w:hAnsi="Arial" w:cs="Arial"/>
          <w:i/>
          <w:sz w:val="22"/>
          <w:szCs w:val="22"/>
        </w:rPr>
      </w:pPr>
    </w:p>
    <w:sectPr w:rsidR="000916FA" w:rsidRPr="00D17A50">
      <w:headerReference w:type="even" r:id="rId8"/>
      <w:headerReference w:type="default" r:id="rId9"/>
      <w:footerReference w:type="default" r:id="rId10"/>
      <w:headerReference w:type="first" r:id="rId11"/>
      <w:footerReference w:type="first" r:id="rId12"/>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A99C" w14:textId="77777777" w:rsidR="00AF7BBA" w:rsidRDefault="00AF7BBA" w:rsidP="00AE6967">
      <w:r>
        <w:separator/>
      </w:r>
    </w:p>
  </w:endnote>
  <w:endnote w:type="continuationSeparator" w:id="0">
    <w:p w14:paraId="7EAA831F" w14:textId="77777777" w:rsidR="00AF7BBA" w:rsidRDefault="00AF7BBA" w:rsidP="00AE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C14D" w14:textId="22D60E30" w:rsidR="00AE6967" w:rsidRDefault="00AE6967">
    <w:pPr>
      <w:pStyle w:val="Footer"/>
    </w:pPr>
    <w:r>
      <w:rPr>
        <w:noProof/>
      </w:rPr>
      <mc:AlternateContent>
        <mc:Choice Requires="wps">
          <w:drawing>
            <wp:anchor distT="0" distB="0" distL="114300" distR="114300" simplePos="0" relativeHeight="251659264" behindDoc="0" locked="0" layoutInCell="0" allowOverlap="1" wp14:anchorId="5725CCF5" wp14:editId="6034B53C">
              <wp:simplePos x="0" y="0"/>
              <wp:positionH relativeFrom="page">
                <wp:posOffset>0</wp:posOffset>
              </wp:positionH>
              <wp:positionV relativeFrom="page">
                <wp:posOffset>10229215</wp:posOffset>
              </wp:positionV>
              <wp:extent cx="7560945" cy="273050"/>
              <wp:effectExtent l="0" t="0" r="0" b="12700"/>
              <wp:wrapNone/>
              <wp:docPr id="1" name="MSIPCM7577435aa7108b0436938d3e"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99DA8" w14:textId="1537070E" w:rsidR="00AE6967" w:rsidRPr="00AE6967" w:rsidRDefault="00AE6967" w:rsidP="00AE696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25CCF5" id="_x0000_t202" coordsize="21600,21600" o:spt="202" path="m,l,21600r21600,l21600,xe">
              <v:stroke joinstyle="miter"/>
              <v:path gradientshapeok="t" o:connecttype="rect"/>
            </v:shapetype>
            <v:shape id="MSIPCM7577435aa7108b0436938d3e"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" o:allowincell="f" filled="f" stroked="f" strokeweight=".5pt">
              <v:textbox inset=",0,,0">
                <w:txbxContent>
                  <w:p w14:paraId="61199DA8" w14:textId="1537070E" w:rsidR="00AE6967" w:rsidRPr="00AE6967" w:rsidRDefault="00AE6967" w:rsidP="00AE6967">
                    <w:pPr>
                      <w:jc w:val="center"/>
                      <w:rPr>
                        <w:rFonts w:ascii="Calibri" w:hAnsi="Calibri" w:cs="Calibri"/>
                        <w:color w:val="000000"/>
                        <w:sz w:val="20"/>
                      </w:rPr>
                    </w:pPr>
                  </w:p>
                </w:txbxContent>
              </v:textbox>
              <w10:wrap anchorx="page" anchory="page"/>
            </v:shape>
          </w:pict>
        </mc:Fallback>
      </mc:AlternateContent>
    </w:r>
    <w:r w:rsidR="00C10AAE">
      <w:rPr>
        <w:noProof/>
        <w:lang w:val="en-US" w:eastAsia="zh-CN"/>
      </w:rPr>
      <w:pict w14:anchorId="219925B8">
        <v:shapetype id="_x0000_t202" coordsize="21600,21600" o:spt="202" path="m,l,21600r21600,l21600,xe">
          <v:stroke joinstyle="miter"/>
          <v:path gradientshapeok="t" o:connecttype="rect"/>
        </v:shapetype>
        <v:shape id="zzmpTrailer_2832_19" o:spid="_x0000_s2052" type="#_x0000_t202" style="position:absolute;margin-left:0;margin-top:-9.95pt;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" filled="f" stroked="f">
          <v:textbox inset="0,0,0,0">
            <w:txbxContent>
              <w:p w14:paraId="0259B7AF" w14:textId="567658BC" w:rsidR="006F358B" w:rsidRDefault="006F358B">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C713" w14:textId="77777777" w:rsidR="006F358B" w:rsidRDefault="00C10AAE">
    <w:pPr>
      <w:pStyle w:val="Footer"/>
      <w:spacing w:line="20" w:lineRule="exact"/>
    </w:pPr>
    <w:r>
      <w:rPr>
        <w:noProof/>
        <w:lang w:val="en-US" w:eastAsia="zh-CN"/>
      </w:rPr>
      <w:pict w14:anchorId="1AD82248">
        <v:shapetype id="_x0000_t202" coordsize="21600,21600" o:spt="202" path="m,l,21600r21600,l21600,xe">
          <v:stroke joinstyle="miter"/>
          <v:path gradientshapeok="t" o:connecttype="rect"/>
        </v:shapetype>
        <v:shape id="zzmpTrailer_2832_1B" o:spid="_x0000_s2053" type="#_x0000_t202" style="position:absolute;margin-left:0;margin-top:-9.95pt;width:201.6pt;height:20.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14:paraId="70A7F72D" w14:textId="3626D019" w:rsidR="006F358B" w:rsidRDefault="00C10AAE">
                <w:pPr>
                  <w:pStyle w:val="MacPacTrailer"/>
                </w:pPr>
                <w:r>
                  <w:fldChar w:fldCharType="begin"/>
                </w:r>
                <w:r>
                  <w:instrText xml:space="preserve"> DOCPROPERTY  docId </w:instrText>
                </w:r>
                <w:r>
                  <w:fldChar w:fldCharType="separate"/>
                </w:r>
                <w:r w:rsidR="00694AEA">
                  <w:t>LON55408593</w:t>
                </w:r>
                <w:r>
                  <w:fldChar w:fldCharType="end"/>
                </w:r>
                <w:r w:rsidR="006F358B">
                  <w:fldChar w:fldCharType="begin"/>
                </w:r>
                <w:r w:rsidR="006F358B">
                  <w:instrText xml:space="preserve"> IF </w:instrText>
                </w:r>
                <w:r>
                  <w:fldChar w:fldCharType="begin"/>
                </w:r>
                <w:r>
                  <w:instrText xml:space="preserve"> DOCPROPERTY  docIncludeVersion </w:instrText>
                </w:r>
                <w:r>
                  <w:fldChar w:fldCharType="separate"/>
                </w:r>
                <w:r w:rsidR="00694AEA">
                  <w:instrText>true</w:instrText>
                </w:r>
                <w:r>
                  <w:fldChar w:fldCharType="end"/>
                </w:r>
                <w:r w:rsidR="006F358B">
                  <w:instrText xml:space="preserve"> = true "/</w:instrText>
                </w:r>
                <w:r>
                  <w:fldChar w:fldCharType="begin"/>
                </w:r>
                <w:r>
                  <w:instrText xml:space="preserve"> DOCPROPERTY  docVersion </w:instrText>
                </w:r>
                <w:r>
                  <w:fldChar w:fldCharType="separate"/>
                </w:r>
                <w:r w:rsidR="00694AEA">
                  <w:instrText>1</w:instrText>
                </w:r>
                <w:r>
                  <w:fldChar w:fldCharType="end"/>
                </w:r>
                <w:r w:rsidR="006F358B">
                  <w:instrText>"</w:instrText>
                </w:r>
                <w:r w:rsidR="006F358B">
                  <w:fldChar w:fldCharType="separate"/>
                </w:r>
                <w:r w:rsidR="00694AEA">
                  <w:rPr>
                    <w:noProof/>
                  </w:rPr>
                  <w:t>/1</w:t>
                </w:r>
                <w:r w:rsidR="006F358B">
                  <w:fldChar w:fldCharType="end"/>
                </w:r>
                <w:r w:rsidR="006F358B">
                  <w:t xml:space="preserve">   </w:t>
                </w:r>
                <w:r w:rsidR="006F358B">
                  <w:fldChar w:fldCharType="begin"/>
                </w:r>
                <w:r w:rsidR="006F358B">
                  <w:instrText xml:space="preserve"> IF </w:instrText>
                </w:r>
                <w:r>
                  <w:fldChar w:fldCharType="begin"/>
                </w:r>
                <w:r>
                  <w:instrText xml:space="preserve"> DOCPROPERT</w:instrText>
                </w:r>
                <w:r>
                  <w:instrText xml:space="preserve">Y  docIncludeCliMat </w:instrText>
                </w:r>
                <w:r>
                  <w:fldChar w:fldCharType="separate"/>
                </w:r>
                <w:r w:rsidR="00694AEA">
                  <w:instrText>true</w:instrText>
                </w:r>
                <w:r>
                  <w:fldChar w:fldCharType="end"/>
                </w:r>
                <w:r w:rsidR="006F358B">
                  <w:instrText xml:space="preserve"> = true </w:instrText>
                </w:r>
                <w:r>
                  <w:fldChar w:fldCharType="begin"/>
                </w:r>
                <w:r>
                  <w:instrText xml:space="preserve"> DOCPROPERTY  docCliMat </w:instrText>
                </w:r>
                <w:r>
                  <w:fldChar w:fldCharType="separate"/>
                </w:r>
                <w:r w:rsidR="00694AEA">
                  <w:instrText>053895-0552</w:instrText>
                </w:r>
                <w:r>
                  <w:fldChar w:fldCharType="end"/>
                </w:r>
                <w:r w:rsidR="006F358B">
                  <w:instrText xml:space="preserve">  </w:instrText>
                </w:r>
                <w:r w:rsidR="006F358B">
                  <w:fldChar w:fldCharType="separate"/>
                </w:r>
                <w:r w:rsidR="00694AEA">
                  <w:rPr>
                    <w:noProof/>
                  </w:rPr>
                  <w:t>053895-0552</w:t>
                </w:r>
                <w:r w:rsidR="006F358B">
                  <w:fldChar w:fldCharType="end"/>
                </w:r>
              </w:p>
              <w:p w14:paraId="76C25D13" w14:textId="42BE47B2" w:rsidR="006F358B" w:rsidRDefault="006F358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C0B0" w14:textId="77777777" w:rsidR="00AF7BBA" w:rsidRDefault="00AF7BBA" w:rsidP="00AE6967">
      <w:r>
        <w:separator/>
      </w:r>
    </w:p>
  </w:footnote>
  <w:footnote w:type="continuationSeparator" w:id="0">
    <w:p w14:paraId="73DFDFF2" w14:textId="77777777" w:rsidR="00AF7BBA" w:rsidRDefault="00AF7BBA" w:rsidP="00AE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4807" w14:textId="05982B56" w:rsidR="00A974B2" w:rsidRDefault="00A97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275D" w14:textId="39C33AE4" w:rsidR="00A974B2" w:rsidRDefault="00A97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B36D" w14:textId="299649C1" w:rsidR="00A974B2" w:rsidRDefault="00A97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0606237"/>
    <w:multiLevelType w:val="hybridMultilevel"/>
    <w:tmpl w:val="F4B2D0C2"/>
    <w:lvl w:ilvl="0" w:tplc="17C2C2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65D4DAE"/>
    <w:multiLevelType w:val="hybridMultilevel"/>
    <w:tmpl w:val="147C3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02A71"/>
    <w:multiLevelType w:val="hybridMultilevel"/>
    <w:tmpl w:val="C1A2F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7" w15:restartNumberingAfterBreak="0">
    <w:nsid w:val="6A034C6F"/>
    <w:multiLevelType w:val="hybridMultilevel"/>
    <w:tmpl w:val="170C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D43D0"/>
    <w:multiLevelType w:val="hybridMultilevel"/>
    <w:tmpl w:val="8D044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3"/>
  </w:num>
  <w:num w:numId="2">
    <w:abstractNumId w:val="3"/>
  </w:num>
  <w:num w:numId="3">
    <w:abstractNumId w:val="3"/>
  </w:num>
  <w:num w:numId="4">
    <w:abstractNumId w:val="9"/>
  </w:num>
  <w:num w:numId="5">
    <w:abstractNumId w:val="6"/>
  </w:num>
  <w:num w:numId="6">
    <w:abstractNumId w:val="1"/>
  </w:num>
  <w:num w:numId="7">
    <w:abstractNumId w:val="1"/>
  </w:num>
  <w:num w:numId="8">
    <w:abstractNumId w:val="0"/>
  </w:num>
  <w:num w:numId="9">
    <w:abstractNumId w:val="3"/>
  </w:num>
  <w:num w:numId="10">
    <w:abstractNumId w:val="6"/>
  </w:num>
  <w:num w:numId="11">
    <w:abstractNumId w:val="0"/>
  </w:num>
  <w:num w:numId="12">
    <w:abstractNumId w:val="9"/>
  </w:num>
  <w:num w:numId="13">
    <w:abstractNumId w:val="1"/>
  </w:num>
  <w:num w:numId="14">
    <w:abstractNumId w:val="1"/>
  </w:num>
  <w:num w:numId="15">
    <w:abstractNumId w:val="0"/>
  </w:num>
  <w:num w:numId="16">
    <w:abstractNumId w:val="9"/>
  </w:num>
  <w:num w:numId="17">
    <w:abstractNumId w:val="3"/>
  </w:num>
  <w:num w:numId="18">
    <w:abstractNumId w:val="3"/>
  </w:num>
  <w:num w:numId="19">
    <w:abstractNumId w:val="3"/>
  </w:num>
  <w:num w:numId="20">
    <w:abstractNumId w:val="0"/>
  </w:num>
  <w:num w:numId="21">
    <w:abstractNumId w:val="9"/>
  </w:num>
  <w:num w:numId="22">
    <w:abstractNumId w:val="9"/>
  </w:num>
  <w:num w:numId="23">
    <w:abstractNumId w:val="6"/>
  </w:num>
  <w:num w:numId="24">
    <w:abstractNumId w:val="6"/>
  </w:num>
  <w:num w:numId="25">
    <w:abstractNumId w:val="1"/>
  </w:num>
  <w:num w:numId="26">
    <w:abstractNumId w:val="6"/>
  </w:num>
  <w:num w:numId="27">
    <w:abstractNumId w:val="1"/>
  </w:num>
  <w:num w:numId="28">
    <w:abstractNumId w:val="0"/>
  </w:num>
  <w:num w:numId="29">
    <w:abstractNumId w:val="9"/>
  </w:num>
  <w:num w:numId="30">
    <w:abstractNumId w:val="3"/>
  </w:num>
  <w:num w:numId="31">
    <w:abstractNumId w:val="3"/>
  </w:num>
  <w:num w:numId="32">
    <w:abstractNumId w:val="3"/>
  </w:num>
  <w:num w:numId="33">
    <w:abstractNumId w:val="6"/>
  </w:num>
  <w:num w:numId="34">
    <w:abstractNumId w:val="6"/>
  </w:num>
  <w:num w:numId="35">
    <w:abstractNumId w:val="1"/>
  </w:num>
  <w:num w:numId="36">
    <w:abstractNumId w:val="0"/>
  </w:num>
  <w:num w:numId="37">
    <w:abstractNumId w:val="9"/>
  </w:num>
  <w:num w:numId="38">
    <w:abstractNumId w:val="9"/>
  </w:num>
  <w:num w:numId="39">
    <w:abstractNumId w:val="9"/>
  </w:num>
  <w:num w:numId="40">
    <w:abstractNumId w:val="9"/>
  </w:num>
  <w:num w:numId="41">
    <w:abstractNumId w:val="4"/>
  </w:num>
  <w:num w:numId="42">
    <w:abstractNumId w:val="7"/>
  </w:num>
  <w:num w:numId="43">
    <w:abstractNumId w:val="5"/>
  </w:num>
  <w:num w:numId="44">
    <w:abstractNumId w:val="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s-sgibbons\AppData\Local\Temp\fe11419f-f286-4c80-aaf0-7eb234b7c5ac.docx"/>
    <w:docVar w:name="zzmp10LastTrailerInserted" w:val="^`~#mp!@#⌔N#⌘┕┫4:?~yŚmd⌎Ã7⌔‟Æ¥p%⌠⌌[²ú+QCÑ¾!ä|÷C³bÔ&quot;÷]ƅ@Çb&amp;F¢QÊíõ2´Ân4Â†⌝⌈⌍ß¹¦ìJ£î5Æ℣ƙ⌂ƓƄ•¼ÿ[\1ïÐF¹o´®RsËí‷ÄmÕážú;ÉL¼Q[Ó․3V»P⌂;·'æ[H6¤ïæ_Wi,Ü:Ëú°ùo.&gt;¾[$˞ìT+‧,⌏Þ,ê?å¿⌃⌌{H;s9@WPX011"/>
    <w:docVar w:name="zzmp10LastTrailerInserted_2832" w:val="^`~#mp!@#⌔N#⌘┕┫4:?~yŚmd⌎Ã7⌔‟Æ¥p%⌠⌌[²ú+QCÑ¾!ä|÷C³bÔ&quot;÷]ƅ@Çb&amp;F¢QÊíõ2´Ân4Â†⌝⌈⌍ß¹¦ìJ£î5Æ℣ƙ⌂ƓƄ•¼ÿ[\1ïÐF¹o´®RsËí‷ÄmÕážú;ÉL¼Q[Ó․3V»P⌂;·'æ[H6¤ïæ_Wi,Ü:Ëú°ùo.&gt;¾[$˞ìT+‧,⌏Þ,ê?å¿⌃⌌{H;s9@WPX011"/>
    <w:docVar w:name="zzmp10mSEGsValidated" w:val="1"/>
    <w:docVar w:name="zzmpCompatibilityMode" w:val="15"/>
    <w:docVar w:name="zzmpLegacyTrailerRemoved" w:val="True"/>
  </w:docVars>
  <w:rsids>
    <w:rsidRoot w:val="00AE6967"/>
    <w:rsid w:val="00024269"/>
    <w:rsid w:val="0004196B"/>
    <w:rsid w:val="00082112"/>
    <w:rsid w:val="00082F6B"/>
    <w:rsid w:val="000916FA"/>
    <w:rsid w:val="000A02FF"/>
    <w:rsid w:val="000A291D"/>
    <w:rsid w:val="000A5F33"/>
    <w:rsid w:val="000B0D7A"/>
    <w:rsid w:val="000D598F"/>
    <w:rsid w:val="000F3CDC"/>
    <w:rsid w:val="000F6961"/>
    <w:rsid w:val="001136EF"/>
    <w:rsid w:val="00173C2F"/>
    <w:rsid w:val="0017573C"/>
    <w:rsid w:val="00190747"/>
    <w:rsid w:val="001B4D16"/>
    <w:rsid w:val="001D786C"/>
    <w:rsid w:val="001E31A0"/>
    <w:rsid w:val="001F13CA"/>
    <w:rsid w:val="001F3529"/>
    <w:rsid w:val="002075F2"/>
    <w:rsid w:val="00210F68"/>
    <w:rsid w:val="00223CA1"/>
    <w:rsid w:val="00225959"/>
    <w:rsid w:val="00241C0C"/>
    <w:rsid w:val="002D53EA"/>
    <w:rsid w:val="00321233"/>
    <w:rsid w:val="003560FD"/>
    <w:rsid w:val="00361CEB"/>
    <w:rsid w:val="00367701"/>
    <w:rsid w:val="00371301"/>
    <w:rsid w:val="00384CC1"/>
    <w:rsid w:val="003D2A68"/>
    <w:rsid w:val="003E6CE9"/>
    <w:rsid w:val="00414B03"/>
    <w:rsid w:val="00427945"/>
    <w:rsid w:val="00462F32"/>
    <w:rsid w:val="004A2487"/>
    <w:rsid w:val="004A6523"/>
    <w:rsid w:val="004B09D2"/>
    <w:rsid w:val="004F4DD3"/>
    <w:rsid w:val="00513952"/>
    <w:rsid w:val="005813DD"/>
    <w:rsid w:val="005A4627"/>
    <w:rsid w:val="005A5DD0"/>
    <w:rsid w:val="005B1D5B"/>
    <w:rsid w:val="005C48C5"/>
    <w:rsid w:val="005C78EF"/>
    <w:rsid w:val="005D3768"/>
    <w:rsid w:val="006336A9"/>
    <w:rsid w:val="006350D4"/>
    <w:rsid w:val="00640DCE"/>
    <w:rsid w:val="00694AEA"/>
    <w:rsid w:val="006D5A56"/>
    <w:rsid w:val="006F358B"/>
    <w:rsid w:val="00723B13"/>
    <w:rsid w:val="00726BB7"/>
    <w:rsid w:val="00770891"/>
    <w:rsid w:val="007B68CB"/>
    <w:rsid w:val="007B6C06"/>
    <w:rsid w:val="007C4AC8"/>
    <w:rsid w:val="007D45D8"/>
    <w:rsid w:val="007E61E2"/>
    <w:rsid w:val="0080547A"/>
    <w:rsid w:val="008334BB"/>
    <w:rsid w:val="00835A56"/>
    <w:rsid w:val="008A0BB0"/>
    <w:rsid w:val="008E19CE"/>
    <w:rsid w:val="00902D48"/>
    <w:rsid w:val="00907C72"/>
    <w:rsid w:val="0091465A"/>
    <w:rsid w:val="00917923"/>
    <w:rsid w:val="00932CA4"/>
    <w:rsid w:val="0094469D"/>
    <w:rsid w:val="009A5D8C"/>
    <w:rsid w:val="009B0993"/>
    <w:rsid w:val="009E6B44"/>
    <w:rsid w:val="00A032BA"/>
    <w:rsid w:val="00A138BC"/>
    <w:rsid w:val="00A215D4"/>
    <w:rsid w:val="00A436DE"/>
    <w:rsid w:val="00A51257"/>
    <w:rsid w:val="00A54CB7"/>
    <w:rsid w:val="00A6634D"/>
    <w:rsid w:val="00A932D1"/>
    <w:rsid w:val="00A974B2"/>
    <w:rsid w:val="00AA0741"/>
    <w:rsid w:val="00AB7874"/>
    <w:rsid w:val="00AC5B40"/>
    <w:rsid w:val="00AE6967"/>
    <w:rsid w:val="00AF7BBA"/>
    <w:rsid w:val="00B13171"/>
    <w:rsid w:val="00B70295"/>
    <w:rsid w:val="00BD23E2"/>
    <w:rsid w:val="00BE2B74"/>
    <w:rsid w:val="00BF6624"/>
    <w:rsid w:val="00C0292D"/>
    <w:rsid w:val="00C10AAE"/>
    <w:rsid w:val="00C26D4F"/>
    <w:rsid w:val="00CC672D"/>
    <w:rsid w:val="00CE19CD"/>
    <w:rsid w:val="00CE4161"/>
    <w:rsid w:val="00D059E8"/>
    <w:rsid w:val="00D107C6"/>
    <w:rsid w:val="00D17A50"/>
    <w:rsid w:val="00D40A9D"/>
    <w:rsid w:val="00D40D3D"/>
    <w:rsid w:val="00D4365F"/>
    <w:rsid w:val="00D73493"/>
    <w:rsid w:val="00D903A0"/>
    <w:rsid w:val="00DA12F2"/>
    <w:rsid w:val="00DC6B95"/>
    <w:rsid w:val="00DD15BD"/>
    <w:rsid w:val="00E07A67"/>
    <w:rsid w:val="00E62845"/>
    <w:rsid w:val="00E85BB8"/>
    <w:rsid w:val="00EB4A77"/>
    <w:rsid w:val="00EC12B5"/>
    <w:rsid w:val="00F21D91"/>
    <w:rsid w:val="00F22FD9"/>
    <w:rsid w:val="00F305CD"/>
    <w:rsid w:val="00F34985"/>
    <w:rsid w:val="00F615F5"/>
    <w:rsid w:val="00F725E8"/>
    <w:rsid w:val="00F72ECA"/>
    <w:rsid w:val="00FA00A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D6E245C"/>
  <w15:chartTrackingRefBased/>
  <w15:docId w15:val="{BCFE30C7-9D97-4E5A-9988-9AC155CF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967"/>
    <w:rPr>
      <w:sz w:val="24"/>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character" w:styleId="CommentReference">
    <w:name w:val="annotation reference"/>
    <w:basedOn w:val="DefaultParagraphFont"/>
    <w:uiPriority w:val="99"/>
    <w:semiHidden/>
    <w:unhideWhenUsed/>
    <w:rsid w:val="00AE6967"/>
    <w:rPr>
      <w:sz w:val="16"/>
      <w:szCs w:val="16"/>
    </w:rPr>
  </w:style>
  <w:style w:type="paragraph" w:styleId="CommentText">
    <w:name w:val="annotation text"/>
    <w:basedOn w:val="Normal"/>
    <w:link w:val="CommentTextChar"/>
    <w:uiPriority w:val="99"/>
    <w:semiHidden/>
    <w:unhideWhenUsed/>
    <w:rsid w:val="00AE6967"/>
    <w:rPr>
      <w:sz w:val="20"/>
    </w:rPr>
  </w:style>
  <w:style w:type="character" w:customStyle="1" w:styleId="CommentTextChar">
    <w:name w:val="Comment Text Char"/>
    <w:basedOn w:val="DefaultParagraphFont"/>
    <w:link w:val="CommentText"/>
    <w:uiPriority w:val="99"/>
    <w:semiHidden/>
    <w:rsid w:val="00AE6967"/>
  </w:style>
  <w:style w:type="paragraph" w:styleId="BalloonText">
    <w:name w:val="Balloon Text"/>
    <w:basedOn w:val="Normal"/>
    <w:link w:val="BalloonTextChar"/>
    <w:uiPriority w:val="99"/>
    <w:semiHidden/>
    <w:unhideWhenUsed/>
    <w:rsid w:val="00AE6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67"/>
    <w:rPr>
      <w:rFonts w:ascii="Segoe UI" w:hAnsi="Segoe UI" w:cs="Segoe UI"/>
      <w:sz w:val="18"/>
      <w:szCs w:val="18"/>
    </w:rPr>
  </w:style>
  <w:style w:type="paragraph" w:styleId="Header">
    <w:name w:val="header"/>
    <w:basedOn w:val="Normal"/>
    <w:link w:val="HeaderChar"/>
    <w:uiPriority w:val="99"/>
    <w:unhideWhenUsed/>
    <w:rsid w:val="00AE6967"/>
    <w:pPr>
      <w:tabs>
        <w:tab w:val="center" w:pos="4513"/>
        <w:tab w:val="right" w:pos="9026"/>
      </w:tabs>
    </w:pPr>
  </w:style>
  <w:style w:type="character" w:customStyle="1" w:styleId="HeaderChar">
    <w:name w:val="Header Char"/>
    <w:basedOn w:val="DefaultParagraphFont"/>
    <w:link w:val="Header"/>
    <w:uiPriority w:val="99"/>
    <w:rsid w:val="00AE6967"/>
    <w:rPr>
      <w:sz w:val="24"/>
    </w:rPr>
  </w:style>
  <w:style w:type="paragraph" w:styleId="Footer">
    <w:name w:val="footer"/>
    <w:basedOn w:val="Normal"/>
    <w:link w:val="FooterChar"/>
    <w:uiPriority w:val="99"/>
    <w:unhideWhenUsed/>
    <w:rsid w:val="00AE6967"/>
    <w:pPr>
      <w:tabs>
        <w:tab w:val="center" w:pos="4513"/>
        <w:tab w:val="right" w:pos="9026"/>
      </w:tabs>
    </w:pPr>
  </w:style>
  <w:style w:type="character" w:customStyle="1" w:styleId="FooterChar">
    <w:name w:val="Footer Char"/>
    <w:basedOn w:val="DefaultParagraphFont"/>
    <w:link w:val="Footer"/>
    <w:uiPriority w:val="99"/>
    <w:rsid w:val="00AE6967"/>
    <w:rPr>
      <w:sz w:val="24"/>
    </w:rPr>
  </w:style>
  <w:style w:type="paragraph" w:styleId="ListParagraph">
    <w:name w:val="List Paragraph"/>
    <w:basedOn w:val="Normal"/>
    <w:uiPriority w:val="34"/>
    <w:qFormat/>
    <w:rsid w:val="003560FD"/>
    <w:pPr>
      <w:ind w:left="720"/>
      <w:contextualSpacing/>
    </w:pPr>
  </w:style>
  <w:style w:type="paragraph" w:styleId="CommentSubject">
    <w:name w:val="annotation subject"/>
    <w:basedOn w:val="CommentText"/>
    <w:next w:val="CommentText"/>
    <w:link w:val="CommentSubjectChar"/>
    <w:uiPriority w:val="99"/>
    <w:semiHidden/>
    <w:unhideWhenUsed/>
    <w:rsid w:val="005C78EF"/>
    <w:rPr>
      <w:b/>
      <w:bCs/>
    </w:rPr>
  </w:style>
  <w:style w:type="character" w:customStyle="1" w:styleId="CommentSubjectChar">
    <w:name w:val="Comment Subject Char"/>
    <w:basedOn w:val="CommentTextChar"/>
    <w:link w:val="CommentSubject"/>
    <w:uiPriority w:val="99"/>
    <w:semiHidden/>
    <w:rsid w:val="005C78EF"/>
    <w:rPr>
      <w:b/>
      <w:bCs/>
    </w:rPr>
  </w:style>
  <w:style w:type="character" w:styleId="Hyperlink">
    <w:name w:val="Hyperlink"/>
    <w:basedOn w:val="DefaultParagraphFont"/>
    <w:uiPriority w:val="99"/>
    <w:unhideWhenUsed/>
    <w:rsid w:val="00A54CB7"/>
    <w:rPr>
      <w:color w:val="0000FF" w:themeColor="hyperlink"/>
      <w:u w:val="single"/>
    </w:rPr>
  </w:style>
  <w:style w:type="character" w:styleId="UnresolvedMention">
    <w:name w:val="Unresolved Mention"/>
    <w:basedOn w:val="DefaultParagraphFont"/>
    <w:uiPriority w:val="99"/>
    <w:semiHidden/>
    <w:unhideWhenUsed/>
    <w:rsid w:val="00A54CB7"/>
    <w:rPr>
      <w:color w:val="605E5C"/>
      <w:shd w:val="clear" w:color="auto" w:fill="E1DFDD"/>
    </w:rPr>
  </w:style>
  <w:style w:type="paragraph" w:styleId="BodyText">
    <w:name w:val="Body Text"/>
    <w:basedOn w:val="Normal"/>
    <w:link w:val="BodyTextChar"/>
    <w:uiPriority w:val="99"/>
    <w:semiHidden/>
    <w:unhideWhenUsed/>
    <w:rsid w:val="00907C72"/>
    <w:pPr>
      <w:spacing w:after="120"/>
    </w:pPr>
  </w:style>
  <w:style w:type="character" w:customStyle="1" w:styleId="BodyTextChar">
    <w:name w:val="Body Text Char"/>
    <w:basedOn w:val="DefaultParagraphFont"/>
    <w:link w:val="BodyText"/>
    <w:uiPriority w:val="99"/>
    <w:semiHidden/>
    <w:rsid w:val="00907C72"/>
    <w:rPr>
      <w:sz w:val="24"/>
    </w:rPr>
  </w:style>
  <w:style w:type="paragraph" w:styleId="FootnoteText">
    <w:name w:val="footnote text"/>
    <w:basedOn w:val="Normal"/>
    <w:link w:val="FootnoteTextChar"/>
    <w:uiPriority w:val="99"/>
    <w:semiHidden/>
    <w:unhideWhenUsed/>
    <w:rsid w:val="00173C2F"/>
    <w:rPr>
      <w:sz w:val="20"/>
    </w:rPr>
  </w:style>
  <w:style w:type="character" w:customStyle="1" w:styleId="FootnoteTextChar">
    <w:name w:val="Footnote Text Char"/>
    <w:basedOn w:val="DefaultParagraphFont"/>
    <w:link w:val="FootnoteText"/>
    <w:uiPriority w:val="99"/>
    <w:semiHidden/>
    <w:rsid w:val="00173C2F"/>
  </w:style>
  <w:style w:type="character" w:styleId="FootnoteReference">
    <w:name w:val="footnote reference"/>
    <w:basedOn w:val="DefaultParagraphFont"/>
    <w:uiPriority w:val="7"/>
    <w:unhideWhenUsed/>
    <w:rsid w:val="00173C2F"/>
    <w:rPr>
      <w:vertAlign w:val="superscript"/>
      <w:lang w:val="en-GB"/>
    </w:rPr>
  </w:style>
  <w:style w:type="character" w:styleId="FollowedHyperlink">
    <w:name w:val="FollowedHyperlink"/>
    <w:basedOn w:val="DefaultParagraphFont"/>
    <w:uiPriority w:val="99"/>
    <w:semiHidden/>
    <w:unhideWhenUsed/>
    <w:rsid w:val="006F358B"/>
    <w:rPr>
      <w:color w:val="800080" w:themeColor="followedHyperlink"/>
      <w:u w:val="single"/>
    </w:rPr>
  </w:style>
  <w:style w:type="paragraph" w:customStyle="1" w:styleId="MacPacTrailer">
    <w:name w:val="MacPac Trailer"/>
    <w:rsid w:val="006F358B"/>
    <w:pPr>
      <w:widowControl w:val="0"/>
      <w:spacing w:line="170" w:lineRule="exact"/>
    </w:pPr>
    <w:rPr>
      <w:sz w:val="14"/>
      <w:szCs w:val="22"/>
    </w:rPr>
  </w:style>
  <w:style w:type="character" w:styleId="PlaceholderText">
    <w:name w:val="Placeholder Text"/>
    <w:basedOn w:val="DefaultParagraphFont"/>
    <w:uiPriority w:val="99"/>
    <w:semiHidden/>
    <w:rsid w:val="006F3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6C2B-39DB-4CF6-922C-980929DF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7F48057D</Template>
  <TotalTime>1</TotalTime>
  <Pages>3</Pages>
  <Words>1370</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Mohan-Kenny, Rebecca</dc:creator>
  <cp:keywords/>
  <dc:description/>
  <cp:lastModifiedBy>Dunning, Sally</cp:lastModifiedBy>
  <cp:revision>2</cp:revision>
  <cp:lastPrinted>2019-11-22T10:57:00Z</cp:lastPrinted>
  <dcterms:created xsi:type="dcterms:W3CDTF">2020-08-26T11:10:00Z</dcterms:created>
  <dcterms:modified xsi:type="dcterms:W3CDTF">2020-08-26T11:10:00Z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LON55408593</vt:lpwstr>
  </property>
  <property fmtid="{D5CDD505-2E9C-101B-9397-08002B2CF9AE}" pid="3" name="docVersion">
    <vt:lpwstr>1</vt:lpwstr>
  </property>
  <property fmtid="{D5CDD505-2E9C-101B-9397-08002B2CF9AE}" pid="4" name="docCliMat">
    <vt:lpwstr>053895-0552</vt:lpwstr>
  </property>
  <property fmtid="{D5CDD505-2E9C-101B-9397-08002B2CF9AE}" pid="5" name="docIncludeVersion">
    <vt:lpwstr>true</vt:lpwstr>
  </property>
  <property fmtid="{D5CDD505-2E9C-101B-9397-08002B2CF9AE}" pid="6" name="docIncludeCliMat">
    <vt:lpwstr>true</vt:lpwstr>
  </property>
  <property fmtid="{D5CDD505-2E9C-101B-9397-08002B2CF9AE}" pid="7" name="MSIP_Label_b3b4ac1b-ad46-41e5-bbef-cfcc59b99d32_Enabled">
    <vt:lpwstr>False</vt:lpwstr>
  </property>
  <property fmtid="{D5CDD505-2E9C-101B-9397-08002B2CF9AE}" pid="8" name="MSIP_Label_b3b4ac1b-ad46-41e5-bbef-cfcc59b99d32_SiteId">
    <vt:lpwstr>8df4b91e-bf72-411d-9902-5ecc8f1e6c11</vt:lpwstr>
  </property>
  <property fmtid="{D5CDD505-2E9C-101B-9397-08002B2CF9AE}" pid="9" name="MSIP_Label_b3b4ac1b-ad46-41e5-bbef-cfcc59b99d32_Owner">
    <vt:lpwstr>DoyleR@lloyds.com</vt:lpwstr>
  </property>
  <property fmtid="{D5CDD505-2E9C-101B-9397-08002B2CF9AE}" pid="10" name="MSIP_Label_b3b4ac1b-ad46-41e5-bbef-cfcc59b99d32_SetDate">
    <vt:lpwstr>2020-08-25T15:59:05.4982670Z</vt:lpwstr>
  </property>
  <property fmtid="{D5CDD505-2E9C-101B-9397-08002B2CF9AE}" pid="11" name="MSIP_Label_b3b4ac1b-ad46-41e5-bbef-cfcc59b99d32_Name">
    <vt:lpwstr>Confidential</vt:lpwstr>
  </property>
  <property fmtid="{D5CDD505-2E9C-101B-9397-08002B2CF9AE}" pid="12" name="MSIP_Label_b3b4ac1b-ad46-41e5-bbef-cfcc59b99d32_Application">
    <vt:lpwstr>Microsoft Azure Information Protection</vt:lpwstr>
  </property>
  <property fmtid="{D5CDD505-2E9C-101B-9397-08002B2CF9AE}" pid="13" name="MSIP_Label_b3b4ac1b-ad46-41e5-bbef-cfcc59b99d32_Extended_MSFT_Method">
    <vt:lpwstr>Automatic</vt:lpwstr>
  </property>
</Properties>
</file>