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2590"/>
        <w:tblW w:w="0" w:type="auto"/>
        <w:tblCellMar>
          <w:top w:w="113" w:type="dxa"/>
          <w:left w:w="0" w:type="dxa"/>
          <w:bottom w:w="57" w:type="dxa"/>
          <w:right w:w="0" w:type="dxa"/>
        </w:tblCellMar>
        <w:tblLook w:val="00A0" w:firstRow="1" w:lastRow="0" w:firstColumn="1" w:lastColumn="0" w:noHBand="0" w:noVBand="0"/>
      </w:tblPr>
      <w:tblGrid>
        <w:gridCol w:w="9298"/>
      </w:tblGrid>
      <w:tr w:rsidR="00FD6D8A" w:rsidRPr="005B3EA9" w:rsidTr="00BC0C49">
        <w:trPr>
          <w:trHeight w:hRule="exact" w:val="9923"/>
        </w:trPr>
        <w:tc>
          <w:tcPr>
            <w:tcW w:w="9298" w:type="dxa"/>
            <w:shd w:val="clear" w:color="auto" w:fill="auto"/>
          </w:tcPr>
          <w:p w:rsidR="00FD6D8A" w:rsidRPr="005B3EA9" w:rsidRDefault="00FD6D8A" w:rsidP="00BC0C49">
            <w:pPr>
              <w:pStyle w:val="ReportTitle"/>
              <w:rPr>
                <w:b/>
              </w:rPr>
            </w:pPr>
            <w:bookmarkStart w:id="0" w:name="_Toc511729554"/>
            <w:r w:rsidRPr="005B3EA9">
              <w:rPr>
                <w:b/>
              </w:rPr>
              <w:t>Hong Kong Insurance Authority: IA Levy</w:t>
            </w:r>
          </w:p>
          <w:p w:rsidR="00FD6D8A" w:rsidRPr="005B3EA9" w:rsidRDefault="00FD6D8A" w:rsidP="00BC0C49">
            <w:pPr>
              <w:pStyle w:val="ReportDescription"/>
              <w:rPr>
                <w:b/>
              </w:rPr>
            </w:pPr>
          </w:p>
          <w:p w:rsidR="00FD6D8A" w:rsidRPr="005B3EA9" w:rsidRDefault="00FD6D8A" w:rsidP="00BC0C49">
            <w:pPr>
              <w:pStyle w:val="ReportDescription"/>
              <w:spacing w:line="340" w:lineRule="exact"/>
              <w:rPr>
                <w:b/>
                <w:color w:val="000000"/>
                <w:sz w:val="24"/>
                <w:szCs w:val="24"/>
              </w:rPr>
            </w:pPr>
            <w:r>
              <w:rPr>
                <w:b/>
              </w:rPr>
              <w:t>MARCH 2019</w:t>
            </w:r>
          </w:p>
        </w:tc>
      </w:tr>
    </w:tbl>
    <w:p w:rsidR="00FD6D8A" w:rsidRPr="005A6D0B" w:rsidRDefault="00FD6D8A" w:rsidP="00FD6D8A">
      <w:pPr>
        <w:pStyle w:val="Heading2"/>
        <w:numPr>
          <w:ilvl w:val="0"/>
          <w:numId w:val="0"/>
        </w:numPr>
        <w:sectPr w:rsidR="00FD6D8A" w:rsidRPr="005A6D0B" w:rsidSect="003337FB">
          <w:headerReference w:type="even" r:id="rId8"/>
          <w:headerReference w:type="default" r:id="rId9"/>
          <w:footerReference w:type="even" r:id="rId10"/>
          <w:footerReference w:type="default" r:id="rId11"/>
          <w:headerReference w:type="first" r:id="rId12"/>
          <w:footerReference w:type="first" r:id="rId13"/>
          <w:pgSz w:w="11907" w:h="16840" w:code="9"/>
          <w:pgMar w:top="1474" w:right="1021" w:bottom="1361" w:left="1588" w:header="720" w:footer="720" w:gutter="0"/>
          <w:cols w:space="720"/>
          <w:titlePg/>
          <w:docGrid w:linePitch="245"/>
        </w:sectPr>
      </w:pPr>
    </w:p>
    <w:p w:rsidR="00FD6D8A" w:rsidRPr="00D74DBD" w:rsidRDefault="00FD6D8A" w:rsidP="00FD6D8A">
      <w:pPr>
        <w:pStyle w:val="TOCHeading"/>
        <w:rPr>
          <w:color w:val="auto"/>
        </w:rPr>
      </w:pPr>
      <w:bookmarkStart w:id="1" w:name="_Toc495477629"/>
      <w:r w:rsidRPr="00D74DBD">
        <w:rPr>
          <w:color w:val="auto"/>
        </w:rPr>
        <w:lastRenderedPageBreak/>
        <w:t>Contents</w:t>
      </w:r>
    </w:p>
    <w:p w:rsidR="00FC6226" w:rsidRDefault="00FD6D8A">
      <w:pPr>
        <w:pStyle w:val="TOC1"/>
        <w:rPr>
          <w:rFonts w:asciiTheme="minorHAnsi" w:eastAsiaTheme="minorEastAsia" w:hAnsiTheme="minorHAnsi" w:cstheme="minorBidi"/>
          <w:b w:val="0"/>
          <w:sz w:val="22"/>
          <w:szCs w:val="22"/>
        </w:rPr>
      </w:pPr>
      <w:r w:rsidRPr="00894961">
        <w:rPr>
          <w:noProof w:val="0"/>
          <w:sz w:val="22"/>
          <w:szCs w:val="22"/>
        </w:rPr>
        <w:fldChar w:fldCharType="begin"/>
      </w:r>
      <w:r w:rsidRPr="00894961">
        <w:rPr>
          <w:sz w:val="22"/>
          <w:szCs w:val="22"/>
        </w:rPr>
        <w:instrText xml:space="preserve"> TOC \o "1-3" \h \z \u </w:instrText>
      </w:r>
      <w:r w:rsidRPr="00894961">
        <w:rPr>
          <w:noProof w:val="0"/>
          <w:sz w:val="22"/>
          <w:szCs w:val="22"/>
        </w:rPr>
        <w:fldChar w:fldCharType="separate"/>
      </w:r>
      <w:hyperlink w:anchor="_Toc3881726" w:history="1">
        <w:r w:rsidR="00FC6226" w:rsidRPr="00DE6240">
          <w:rPr>
            <w:rStyle w:val="Hyperlink"/>
          </w:rPr>
          <w:t>1</w:t>
        </w:r>
        <w:r w:rsidR="00FC6226">
          <w:rPr>
            <w:rFonts w:asciiTheme="minorHAnsi" w:eastAsiaTheme="minorEastAsia" w:hAnsiTheme="minorHAnsi" w:cstheme="minorBidi"/>
            <w:b w:val="0"/>
            <w:sz w:val="22"/>
            <w:szCs w:val="22"/>
          </w:rPr>
          <w:tab/>
        </w:r>
        <w:r w:rsidR="00FC6226" w:rsidRPr="00DE6240">
          <w:rPr>
            <w:rStyle w:val="Hyperlink"/>
          </w:rPr>
          <w:t>Purpose</w:t>
        </w:r>
        <w:r w:rsidR="00FC6226">
          <w:rPr>
            <w:webHidden/>
          </w:rPr>
          <w:tab/>
        </w:r>
        <w:r w:rsidR="00FC6226">
          <w:rPr>
            <w:webHidden/>
          </w:rPr>
          <w:fldChar w:fldCharType="begin"/>
        </w:r>
        <w:r w:rsidR="00FC6226">
          <w:rPr>
            <w:webHidden/>
          </w:rPr>
          <w:instrText xml:space="preserve"> PAGEREF _Toc3881726 \h </w:instrText>
        </w:r>
        <w:r w:rsidR="00FC6226">
          <w:rPr>
            <w:webHidden/>
          </w:rPr>
        </w:r>
        <w:r w:rsidR="00FC6226">
          <w:rPr>
            <w:webHidden/>
          </w:rPr>
          <w:fldChar w:fldCharType="separate"/>
        </w:r>
        <w:r w:rsidR="00AB18EE">
          <w:rPr>
            <w:webHidden/>
          </w:rPr>
          <w:t>3</w:t>
        </w:r>
        <w:r w:rsidR="00FC6226">
          <w:rPr>
            <w:webHidden/>
          </w:rPr>
          <w:fldChar w:fldCharType="end"/>
        </w:r>
      </w:hyperlink>
    </w:p>
    <w:p w:rsidR="00FC6226" w:rsidRDefault="000D546A">
      <w:pPr>
        <w:pStyle w:val="TOC1"/>
        <w:rPr>
          <w:rFonts w:asciiTheme="minorHAnsi" w:eastAsiaTheme="minorEastAsia" w:hAnsiTheme="minorHAnsi" w:cstheme="minorBidi"/>
          <w:b w:val="0"/>
          <w:sz w:val="22"/>
          <w:szCs w:val="22"/>
        </w:rPr>
      </w:pPr>
      <w:hyperlink w:anchor="_Toc3881727" w:history="1">
        <w:r w:rsidR="00FC6226" w:rsidRPr="00DE6240">
          <w:rPr>
            <w:rStyle w:val="Hyperlink"/>
          </w:rPr>
          <w:t>2</w:t>
        </w:r>
        <w:r w:rsidR="00FC6226">
          <w:rPr>
            <w:rFonts w:asciiTheme="minorHAnsi" w:eastAsiaTheme="minorEastAsia" w:hAnsiTheme="minorHAnsi" w:cstheme="minorBidi"/>
            <w:b w:val="0"/>
            <w:sz w:val="22"/>
            <w:szCs w:val="22"/>
          </w:rPr>
          <w:tab/>
        </w:r>
        <w:r w:rsidR="00FC6226" w:rsidRPr="00DE6240">
          <w:rPr>
            <w:rStyle w:val="Hyperlink"/>
          </w:rPr>
          <w:t>Summary</w:t>
        </w:r>
        <w:r w:rsidR="00FC6226">
          <w:rPr>
            <w:webHidden/>
          </w:rPr>
          <w:tab/>
        </w:r>
        <w:r w:rsidR="00FC6226">
          <w:rPr>
            <w:webHidden/>
          </w:rPr>
          <w:fldChar w:fldCharType="begin"/>
        </w:r>
        <w:r w:rsidR="00FC6226">
          <w:rPr>
            <w:webHidden/>
          </w:rPr>
          <w:instrText xml:space="preserve"> PAGEREF _Toc3881727 \h </w:instrText>
        </w:r>
        <w:r w:rsidR="00FC6226">
          <w:rPr>
            <w:webHidden/>
          </w:rPr>
        </w:r>
        <w:r w:rsidR="00FC6226">
          <w:rPr>
            <w:webHidden/>
          </w:rPr>
          <w:fldChar w:fldCharType="separate"/>
        </w:r>
        <w:r w:rsidR="00AB18EE">
          <w:rPr>
            <w:webHidden/>
          </w:rPr>
          <w:t>3</w:t>
        </w:r>
        <w:r w:rsidR="00FC6226">
          <w:rPr>
            <w:webHidden/>
          </w:rPr>
          <w:fldChar w:fldCharType="end"/>
        </w:r>
      </w:hyperlink>
    </w:p>
    <w:p w:rsidR="00FC6226" w:rsidRDefault="000D546A">
      <w:pPr>
        <w:pStyle w:val="TOC1"/>
        <w:rPr>
          <w:rFonts w:asciiTheme="minorHAnsi" w:eastAsiaTheme="minorEastAsia" w:hAnsiTheme="minorHAnsi" w:cstheme="minorBidi"/>
          <w:b w:val="0"/>
          <w:sz w:val="22"/>
          <w:szCs w:val="22"/>
        </w:rPr>
      </w:pPr>
      <w:hyperlink w:anchor="_Toc3881728" w:history="1">
        <w:r w:rsidR="00FC6226" w:rsidRPr="00DE6240">
          <w:rPr>
            <w:rStyle w:val="Hyperlink"/>
          </w:rPr>
          <w:t>3</w:t>
        </w:r>
        <w:r w:rsidR="00FC6226">
          <w:rPr>
            <w:rFonts w:asciiTheme="minorHAnsi" w:eastAsiaTheme="minorEastAsia" w:hAnsiTheme="minorHAnsi" w:cstheme="minorBidi"/>
            <w:b w:val="0"/>
            <w:sz w:val="22"/>
            <w:szCs w:val="22"/>
          </w:rPr>
          <w:tab/>
        </w:r>
        <w:r w:rsidR="00FC6226" w:rsidRPr="00DE6240">
          <w:rPr>
            <w:rStyle w:val="Hyperlink"/>
          </w:rPr>
          <w:t>Implementation</w:t>
        </w:r>
        <w:r w:rsidR="00FC6226">
          <w:rPr>
            <w:webHidden/>
          </w:rPr>
          <w:tab/>
        </w:r>
        <w:r w:rsidR="00FC6226">
          <w:rPr>
            <w:webHidden/>
          </w:rPr>
          <w:fldChar w:fldCharType="begin"/>
        </w:r>
        <w:r w:rsidR="00FC6226">
          <w:rPr>
            <w:webHidden/>
          </w:rPr>
          <w:instrText xml:space="preserve"> PAGEREF _Toc3881728 \h </w:instrText>
        </w:r>
        <w:r w:rsidR="00FC6226">
          <w:rPr>
            <w:webHidden/>
          </w:rPr>
        </w:r>
        <w:r w:rsidR="00FC6226">
          <w:rPr>
            <w:webHidden/>
          </w:rPr>
          <w:fldChar w:fldCharType="separate"/>
        </w:r>
        <w:r w:rsidR="00AB18EE">
          <w:rPr>
            <w:webHidden/>
          </w:rPr>
          <w:t>3</w:t>
        </w:r>
        <w:r w:rsidR="00FC6226">
          <w:rPr>
            <w:webHidden/>
          </w:rPr>
          <w:fldChar w:fldCharType="end"/>
        </w:r>
      </w:hyperlink>
    </w:p>
    <w:p w:rsidR="00FC6226" w:rsidRDefault="000D546A">
      <w:pPr>
        <w:pStyle w:val="TOC2"/>
        <w:rPr>
          <w:rFonts w:asciiTheme="minorHAnsi" w:eastAsiaTheme="minorEastAsia" w:hAnsiTheme="minorHAnsi" w:cstheme="minorBidi"/>
          <w:sz w:val="22"/>
          <w:szCs w:val="22"/>
        </w:rPr>
      </w:pPr>
      <w:hyperlink w:anchor="_Toc3881729" w:history="1">
        <w:r w:rsidR="00FC6226" w:rsidRPr="00DE6240">
          <w:rPr>
            <w:rStyle w:val="Hyperlink"/>
          </w:rPr>
          <w:t>3.1</w:t>
        </w:r>
        <w:r w:rsidR="00FC6226">
          <w:rPr>
            <w:rFonts w:asciiTheme="minorHAnsi" w:eastAsiaTheme="minorEastAsia" w:hAnsiTheme="minorHAnsi" w:cstheme="minorBidi"/>
            <w:sz w:val="22"/>
            <w:szCs w:val="22"/>
          </w:rPr>
          <w:tab/>
        </w:r>
        <w:r w:rsidR="00FC6226" w:rsidRPr="00DE6240">
          <w:rPr>
            <w:rStyle w:val="Hyperlink"/>
          </w:rPr>
          <w:t>Affected Business</w:t>
        </w:r>
        <w:r w:rsidR="00FC6226">
          <w:rPr>
            <w:webHidden/>
          </w:rPr>
          <w:tab/>
        </w:r>
        <w:r w:rsidR="00FC6226">
          <w:rPr>
            <w:webHidden/>
          </w:rPr>
          <w:fldChar w:fldCharType="begin"/>
        </w:r>
        <w:r w:rsidR="00FC6226">
          <w:rPr>
            <w:webHidden/>
          </w:rPr>
          <w:instrText xml:space="preserve"> PAGEREF _Toc3881729 \h </w:instrText>
        </w:r>
        <w:r w:rsidR="00FC6226">
          <w:rPr>
            <w:webHidden/>
          </w:rPr>
        </w:r>
        <w:r w:rsidR="00FC6226">
          <w:rPr>
            <w:webHidden/>
          </w:rPr>
          <w:fldChar w:fldCharType="separate"/>
        </w:r>
        <w:r w:rsidR="00AB18EE">
          <w:rPr>
            <w:webHidden/>
          </w:rPr>
          <w:t>3</w:t>
        </w:r>
        <w:r w:rsidR="00FC6226">
          <w:rPr>
            <w:webHidden/>
          </w:rPr>
          <w:fldChar w:fldCharType="end"/>
        </w:r>
      </w:hyperlink>
    </w:p>
    <w:p w:rsidR="00FC6226" w:rsidRDefault="000D546A">
      <w:pPr>
        <w:pStyle w:val="TOC2"/>
        <w:rPr>
          <w:rFonts w:asciiTheme="minorHAnsi" w:eastAsiaTheme="minorEastAsia" w:hAnsiTheme="minorHAnsi" w:cstheme="minorBidi"/>
          <w:sz w:val="22"/>
          <w:szCs w:val="22"/>
        </w:rPr>
      </w:pPr>
      <w:hyperlink w:anchor="_Toc3881730" w:history="1">
        <w:r w:rsidR="00FC6226" w:rsidRPr="00DE6240">
          <w:rPr>
            <w:rStyle w:val="Hyperlink"/>
          </w:rPr>
          <w:t>3.2</w:t>
        </w:r>
        <w:r w:rsidR="00FC6226">
          <w:rPr>
            <w:rFonts w:asciiTheme="minorHAnsi" w:eastAsiaTheme="minorEastAsia" w:hAnsiTheme="minorHAnsi" w:cstheme="minorBidi"/>
            <w:sz w:val="22"/>
            <w:szCs w:val="22"/>
          </w:rPr>
          <w:tab/>
        </w:r>
        <w:r w:rsidR="00FC6226" w:rsidRPr="00DE6240">
          <w:rPr>
            <w:rStyle w:val="Hyperlink"/>
          </w:rPr>
          <w:t>Levy Rate</w:t>
        </w:r>
        <w:r w:rsidR="00FC6226">
          <w:rPr>
            <w:webHidden/>
          </w:rPr>
          <w:tab/>
        </w:r>
        <w:r w:rsidR="00FC6226">
          <w:rPr>
            <w:webHidden/>
          </w:rPr>
          <w:fldChar w:fldCharType="begin"/>
        </w:r>
        <w:r w:rsidR="00FC6226">
          <w:rPr>
            <w:webHidden/>
          </w:rPr>
          <w:instrText xml:space="preserve"> PAGEREF _Toc3881730 \h </w:instrText>
        </w:r>
        <w:r w:rsidR="00FC6226">
          <w:rPr>
            <w:webHidden/>
          </w:rPr>
        </w:r>
        <w:r w:rsidR="00FC6226">
          <w:rPr>
            <w:webHidden/>
          </w:rPr>
          <w:fldChar w:fldCharType="separate"/>
        </w:r>
        <w:r w:rsidR="00AB18EE">
          <w:rPr>
            <w:webHidden/>
          </w:rPr>
          <w:t>4</w:t>
        </w:r>
        <w:r w:rsidR="00FC6226">
          <w:rPr>
            <w:webHidden/>
          </w:rPr>
          <w:fldChar w:fldCharType="end"/>
        </w:r>
      </w:hyperlink>
    </w:p>
    <w:p w:rsidR="00FC6226" w:rsidRDefault="000D546A">
      <w:pPr>
        <w:pStyle w:val="TOC2"/>
        <w:rPr>
          <w:rFonts w:asciiTheme="minorHAnsi" w:eastAsiaTheme="minorEastAsia" w:hAnsiTheme="minorHAnsi" w:cstheme="minorBidi"/>
          <w:sz w:val="22"/>
          <w:szCs w:val="22"/>
        </w:rPr>
      </w:pPr>
      <w:hyperlink w:anchor="_Toc3881731" w:history="1">
        <w:r w:rsidR="00FC6226" w:rsidRPr="00DE6240">
          <w:rPr>
            <w:rStyle w:val="Hyperlink"/>
          </w:rPr>
          <w:t>3.3</w:t>
        </w:r>
        <w:r w:rsidR="00FC6226">
          <w:rPr>
            <w:rFonts w:asciiTheme="minorHAnsi" w:eastAsiaTheme="minorEastAsia" w:hAnsiTheme="minorHAnsi" w:cstheme="minorBidi"/>
            <w:sz w:val="22"/>
            <w:szCs w:val="22"/>
          </w:rPr>
          <w:tab/>
        </w:r>
        <w:r w:rsidR="00FC6226" w:rsidRPr="00DE6240">
          <w:rPr>
            <w:rStyle w:val="Hyperlink"/>
          </w:rPr>
          <w:t>Method of Collection</w:t>
        </w:r>
        <w:r w:rsidR="00FC6226">
          <w:rPr>
            <w:webHidden/>
          </w:rPr>
          <w:tab/>
        </w:r>
        <w:r w:rsidR="00FC6226">
          <w:rPr>
            <w:webHidden/>
          </w:rPr>
          <w:fldChar w:fldCharType="begin"/>
        </w:r>
        <w:r w:rsidR="00FC6226">
          <w:rPr>
            <w:webHidden/>
          </w:rPr>
          <w:instrText xml:space="preserve"> PAGEREF _Toc3881731 \h </w:instrText>
        </w:r>
        <w:r w:rsidR="00FC6226">
          <w:rPr>
            <w:webHidden/>
          </w:rPr>
        </w:r>
        <w:r w:rsidR="00FC6226">
          <w:rPr>
            <w:webHidden/>
          </w:rPr>
          <w:fldChar w:fldCharType="separate"/>
        </w:r>
        <w:r w:rsidR="00AB18EE">
          <w:rPr>
            <w:webHidden/>
          </w:rPr>
          <w:t>4</w:t>
        </w:r>
        <w:r w:rsidR="00FC6226">
          <w:rPr>
            <w:webHidden/>
          </w:rPr>
          <w:fldChar w:fldCharType="end"/>
        </w:r>
      </w:hyperlink>
    </w:p>
    <w:p w:rsidR="00FC6226" w:rsidRDefault="000D546A">
      <w:pPr>
        <w:pStyle w:val="TOC3"/>
        <w:rPr>
          <w:rFonts w:asciiTheme="minorHAnsi" w:eastAsiaTheme="minorEastAsia" w:hAnsiTheme="minorHAnsi" w:cstheme="minorBidi"/>
          <w:sz w:val="22"/>
          <w:szCs w:val="22"/>
        </w:rPr>
      </w:pPr>
      <w:hyperlink w:anchor="_Toc3881732" w:history="1">
        <w:r w:rsidR="00FC6226" w:rsidRPr="00DE6240">
          <w:rPr>
            <w:rStyle w:val="Hyperlink"/>
          </w:rPr>
          <w:t>3.3.1</w:t>
        </w:r>
        <w:r w:rsidR="00FC6226">
          <w:rPr>
            <w:rFonts w:asciiTheme="minorHAnsi" w:eastAsiaTheme="minorEastAsia" w:hAnsiTheme="minorHAnsi" w:cstheme="minorBidi"/>
            <w:sz w:val="22"/>
            <w:szCs w:val="22"/>
          </w:rPr>
          <w:tab/>
        </w:r>
        <w:r w:rsidR="00FC6226" w:rsidRPr="00DE6240">
          <w:rPr>
            <w:rStyle w:val="Hyperlink"/>
          </w:rPr>
          <w:t>Lloyd’s Approach</w:t>
        </w:r>
        <w:r w:rsidR="00FC6226">
          <w:rPr>
            <w:webHidden/>
          </w:rPr>
          <w:tab/>
        </w:r>
        <w:r w:rsidR="00FC6226">
          <w:rPr>
            <w:webHidden/>
          </w:rPr>
          <w:fldChar w:fldCharType="begin"/>
        </w:r>
        <w:r w:rsidR="00FC6226">
          <w:rPr>
            <w:webHidden/>
          </w:rPr>
          <w:instrText xml:space="preserve"> PAGEREF _Toc3881732 \h </w:instrText>
        </w:r>
        <w:r w:rsidR="00FC6226">
          <w:rPr>
            <w:webHidden/>
          </w:rPr>
        </w:r>
        <w:r w:rsidR="00FC6226">
          <w:rPr>
            <w:webHidden/>
          </w:rPr>
          <w:fldChar w:fldCharType="separate"/>
        </w:r>
        <w:r w:rsidR="00AB18EE">
          <w:rPr>
            <w:webHidden/>
          </w:rPr>
          <w:t>5</w:t>
        </w:r>
        <w:r w:rsidR="00FC6226">
          <w:rPr>
            <w:webHidden/>
          </w:rPr>
          <w:fldChar w:fldCharType="end"/>
        </w:r>
      </w:hyperlink>
    </w:p>
    <w:p w:rsidR="00FC6226" w:rsidRDefault="000D546A">
      <w:pPr>
        <w:pStyle w:val="TOC2"/>
        <w:rPr>
          <w:rFonts w:asciiTheme="minorHAnsi" w:eastAsiaTheme="minorEastAsia" w:hAnsiTheme="minorHAnsi" w:cstheme="minorBidi"/>
          <w:sz w:val="22"/>
          <w:szCs w:val="22"/>
        </w:rPr>
      </w:pPr>
      <w:hyperlink w:anchor="_Toc3881733" w:history="1">
        <w:r w:rsidR="00FC6226" w:rsidRPr="00DE6240">
          <w:rPr>
            <w:rStyle w:val="Hyperlink"/>
          </w:rPr>
          <w:t>3.4</w:t>
        </w:r>
        <w:r w:rsidR="00FC6226">
          <w:rPr>
            <w:rFonts w:asciiTheme="minorHAnsi" w:eastAsiaTheme="minorEastAsia" w:hAnsiTheme="minorHAnsi" w:cstheme="minorBidi"/>
            <w:sz w:val="22"/>
            <w:szCs w:val="22"/>
          </w:rPr>
          <w:tab/>
        </w:r>
        <w:r w:rsidR="00FC6226" w:rsidRPr="00DE6240">
          <w:rPr>
            <w:rStyle w:val="Hyperlink"/>
          </w:rPr>
          <w:t>Alternative Remittance Approach Process</w:t>
        </w:r>
        <w:r w:rsidR="00FC6226">
          <w:rPr>
            <w:webHidden/>
          </w:rPr>
          <w:tab/>
        </w:r>
        <w:r w:rsidR="00FC6226">
          <w:rPr>
            <w:webHidden/>
          </w:rPr>
          <w:fldChar w:fldCharType="begin"/>
        </w:r>
        <w:r w:rsidR="00FC6226">
          <w:rPr>
            <w:webHidden/>
          </w:rPr>
          <w:instrText xml:space="preserve"> PAGEREF _Toc3881733 \h </w:instrText>
        </w:r>
        <w:r w:rsidR="00FC6226">
          <w:rPr>
            <w:webHidden/>
          </w:rPr>
        </w:r>
        <w:r w:rsidR="00FC6226">
          <w:rPr>
            <w:webHidden/>
          </w:rPr>
          <w:fldChar w:fldCharType="separate"/>
        </w:r>
        <w:r w:rsidR="00AB18EE">
          <w:rPr>
            <w:webHidden/>
          </w:rPr>
          <w:t>5</w:t>
        </w:r>
        <w:r w:rsidR="00FC6226">
          <w:rPr>
            <w:webHidden/>
          </w:rPr>
          <w:fldChar w:fldCharType="end"/>
        </w:r>
      </w:hyperlink>
    </w:p>
    <w:p w:rsidR="00FC6226" w:rsidRDefault="000D546A">
      <w:pPr>
        <w:pStyle w:val="TOC1"/>
        <w:rPr>
          <w:rFonts w:asciiTheme="minorHAnsi" w:eastAsiaTheme="minorEastAsia" w:hAnsiTheme="minorHAnsi" w:cstheme="minorBidi"/>
          <w:b w:val="0"/>
          <w:sz w:val="22"/>
          <w:szCs w:val="22"/>
        </w:rPr>
      </w:pPr>
      <w:hyperlink w:anchor="_Toc3881734" w:history="1">
        <w:r w:rsidR="00FC6226" w:rsidRPr="00DE6240">
          <w:rPr>
            <w:rStyle w:val="Hyperlink"/>
          </w:rPr>
          <w:t>4</w:t>
        </w:r>
        <w:r w:rsidR="00FC6226">
          <w:rPr>
            <w:rFonts w:asciiTheme="minorHAnsi" w:eastAsiaTheme="minorEastAsia" w:hAnsiTheme="minorHAnsi" w:cstheme="minorBidi"/>
            <w:b w:val="0"/>
            <w:sz w:val="22"/>
            <w:szCs w:val="22"/>
          </w:rPr>
          <w:tab/>
        </w:r>
        <w:r w:rsidR="00FC6226" w:rsidRPr="00DE6240">
          <w:rPr>
            <w:rStyle w:val="Hyperlink"/>
          </w:rPr>
          <w:t>Action required by those responsible for HKR bordereaux submission</w:t>
        </w:r>
        <w:r w:rsidR="00FC6226">
          <w:rPr>
            <w:webHidden/>
          </w:rPr>
          <w:tab/>
        </w:r>
        <w:r w:rsidR="00FC6226">
          <w:rPr>
            <w:webHidden/>
          </w:rPr>
          <w:fldChar w:fldCharType="begin"/>
        </w:r>
        <w:r w:rsidR="00FC6226">
          <w:rPr>
            <w:webHidden/>
          </w:rPr>
          <w:instrText xml:space="preserve"> PAGEREF _Toc3881734 \h </w:instrText>
        </w:r>
        <w:r w:rsidR="00FC6226">
          <w:rPr>
            <w:webHidden/>
          </w:rPr>
        </w:r>
        <w:r w:rsidR="00FC6226">
          <w:rPr>
            <w:webHidden/>
          </w:rPr>
          <w:fldChar w:fldCharType="separate"/>
        </w:r>
        <w:r w:rsidR="00AB18EE">
          <w:rPr>
            <w:webHidden/>
          </w:rPr>
          <w:t>5</w:t>
        </w:r>
        <w:r w:rsidR="00FC6226">
          <w:rPr>
            <w:webHidden/>
          </w:rPr>
          <w:fldChar w:fldCharType="end"/>
        </w:r>
      </w:hyperlink>
    </w:p>
    <w:p w:rsidR="00FC6226" w:rsidRDefault="000D546A">
      <w:pPr>
        <w:pStyle w:val="TOC2"/>
        <w:rPr>
          <w:rFonts w:asciiTheme="minorHAnsi" w:eastAsiaTheme="minorEastAsia" w:hAnsiTheme="minorHAnsi" w:cstheme="minorBidi"/>
          <w:sz w:val="22"/>
          <w:szCs w:val="22"/>
        </w:rPr>
      </w:pPr>
      <w:hyperlink w:anchor="_Toc3881735" w:history="1">
        <w:r w:rsidR="00FC6226" w:rsidRPr="00DE6240">
          <w:rPr>
            <w:rStyle w:val="Hyperlink"/>
          </w:rPr>
          <w:t>4.1</w:t>
        </w:r>
        <w:r w:rsidR="00FC6226">
          <w:rPr>
            <w:rFonts w:asciiTheme="minorHAnsi" w:eastAsiaTheme="minorEastAsia" w:hAnsiTheme="minorHAnsi" w:cstheme="minorBidi"/>
            <w:sz w:val="22"/>
            <w:szCs w:val="22"/>
          </w:rPr>
          <w:tab/>
        </w:r>
        <w:r w:rsidR="00FC6226" w:rsidRPr="00DE6240">
          <w:rPr>
            <w:rStyle w:val="Hyperlink"/>
          </w:rPr>
          <w:t>Changes to the monthly risk bordereaux template</w:t>
        </w:r>
        <w:r w:rsidR="00FC6226">
          <w:rPr>
            <w:webHidden/>
          </w:rPr>
          <w:tab/>
        </w:r>
        <w:r w:rsidR="00FC6226">
          <w:rPr>
            <w:webHidden/>
          </w:rPr>
          <w:fldChar w:fldCharType="begin"/>
        </w:r>
        <w:r w:rsidR="00FC6226">
          <w:rPr>
            <w:webHidden/>
          </w:rPr>
          <w:instrText xml:space="preserve"> PAGEREF _Toc3881735 \h </w:instrText>
        </w:r>
        <w:r w:rsidR="00FC6226">
          <w:rPr>
            <w:webHidden/>
          </w:rPr>
        </w:r>
        <w:r w:rsidR="00FC6226">
          <w:rPr>
            <w:webHidden/>
          </w:rPr>
          <w:fldChar w:fldCharType="separate"/>
        </w:r>
        <w:r w:rsidR="00AB18EE">
          <w:rPr>
            <w:webHidden/>
          </w:rPr>
          <w:t>5</w:t>
        </w:r>
        <w:r w:rsidR="00FC6226">
          <w:rPr>
            <w:webHidden/>
          </w:rPr>
          <w:fldChar w:fldCharType="end"/>
        </w:r>
      </w:hyperlink>
    </w:p>
    <w:p w:rsidR="00FC6226" w:rsidRDefault="000D546A">
      <w:pPr>
        <w:pStyle w:val="TOC3"/>
        <w:rPr>
          <w:rFonts w:asciiTheme="minorHAnsi" w:eastAsiaTheme="minorEastAsia" w:hAnsiTheme="minorHAnsi" w:cstheme="minorBidi"/>
          <w:sz w:val="22"/>
          <w:szCs w:val="22"/>
        </w:rPr>
      </w:pPr>
      <w:hyperlink w:anchor="_Toc3881736" w:history="1">
        <w:r w:rsidR="00FC6226" w:rsidRPr="00DE6240">
          <w:rPr>
            <w:rStyle w:val="Hyperlink"/>
          </w:rPr>
          <w:t>4.1.1</w:t>
        </w:r>
        <w:r w:rsidR="00FC6226">
          <w:rPr>
            <w:rFonts w:asciiTheme="minorHAnsi" w:eastAsiaTheme="minorEastAsia" w:hAnsiTheme="minorHAnsi" w:cstheme="minorBidi"/>
            <w:sz w:val="22"/>
            <w:szCs w:val="22"/>
          </w:rPr>
          <w:tab/>
        </w:r>
        <w:r w:rsidR="00FC6226" w:rsidRPr="00DE6240">
          <w:rPr>
            <w:rStyle w:val="Hyperlink"/>
          </w:rPr>
          <w:t>Coinsurance (with non-Lloyd’s insurers)</w:t>
        </w:r>
        <w:r w:rsidR="00FC6226">
          <w:rPr>
            <w:webHidden/>
          </w:rPr>
          <w:tab/>
        </w:r>
        <w:r w:rsidR="00FC6226">
          <w:rPr>
            <w:webHidden/>
          </w:rPr>
          <w:fldChar w:fldCharType="begin"/>
        </w:r>
        <w:r w:rsidR="00FC6226">
          <w:rPr>
            <w:webHidden/>
          </w:rPr>
          <w:instrText xml:space="preserve"> PAGEREF _Toc3881736 \h </w:instrText>
        </w:r>
        <w:r w:rsidR="00FC6226">
          <w:rPr>
            <w:webHidden/>
          </w:rPr>
        </w:r>
        <w:r w:rsidR="00FC6226">
          <w:rPr>
            <w:webHidden/>
          </w:rPr>
          <w:fldChar w:fldCharType="separate"/>
        </w:r>
        <w:r w:rsidR="00AB18EE">
          <w:rPr>
            <w:webHidden/>
          </w:rPr>
          <w:t>6</w:t>
        </w:r>
        <w:r w:rsidR="00FC6226">
          <w:rPr>
            <w:webHidden/>
          </w:rPr>
          <w:fldChar w:fldCharType="end"/>
        </w:r>
      </w:hyperlink>
    </w:p>
    <w:p w:rsidR="00FC6226" w:rsidRDefault="000D546A">
      <w:pPr>
        <w:pStyle w:val="TOC3"/>
        <w:rPr>
          <w:rFonts w:asciiTheme="minorHAnsi" w:eastAsiaTheme="minorEastAsia" w:hAnsiTheme="minorHAnsi" w:cstheme="minorBidi"/>
          <w:sz w:val="22"/>
          <w:szCs w:val="22"/>
        </w:rPr>
      </w:pPr>
      <w:hyperlink w:anchor="_Toc3881737" w:history="1">
        <w:r w:rsidR="00FC6226" w:rsidRPr="00DE6240">
          <w:rPr>
            <w:rStyle w:val="Hyperlink"/>
          </w:rPr>
          <w:t>4.1.2</w:t>
        </w:r>
        <w:r w:rsidR="00FC6226">
          <w:rPr>
            <w:rFonts w:asciiTheme="minorHAnsi" w:eastAsiaTheme="minorEastAsia" w:hAnsiTheme="minorHAnsi" w:cstheme="minorBidi"/>
            <w:sz w:val="22"/>
            <w:szCs w:val="22"/>
          </w:rPr>
          <w:tab/>
        </w:r>
        <w:r w:rsidR="00FC6226" w:rsidRPr="00DE6240">
          <w:rPr>
            <w:rStyle w:val="Hyperlink"/>
          </w:rPr>
          <w:t>Total Gross Written Premium</w:t>
        </w:r>
        <w:r w:rsidR="00FC6226">
          <w:rPr>
            <w:webHidden/>
          </w:rPr>
          <w:tab/>
        </w:r>
        <w:r w:rsidR="00FC6226">
          <w:rPr>
            <w:webHidden/>
          </w:rPr>
          <w:fldChar w:fldCharType="begin"/>
        </w:r>
        <w:r w:rsidR="00FC6226">
          <w:rPr>
            <w:webHidden/>
          </w:rPr>
          <w:instrText xml:space="preserve"> PAGEREF _Toc3881737 \h </w:instrText>
        </w:r>
        <w:r w:rsidR="00FC6226">
          <w:rPr>
            <w:webHidden/>
          </w:rPr>
        </w:r>
        <w:r w:rsidR="00FC6226">
          <w:rPr>
            <w:webHidden/>
          </w:rPr>
          <w:fldChar w:fldCharType="separate"/>
        </w:r>
        <w:r w:rsidR="00AB18EE">
          <w:rPr>
            <w:webHidden/>
          </w:rPr>
          <w:t>6</w:t>
        </w:r>
        <w:r w:rsidR="00FC6226">
          <w:rPr>
            <w:webHidden/>
          </w:rPr>
          <w:fldChar w:fldCharType="end"/>
        </w:r>
      </w:hyperlink>
    </w:p>
    <w:p w:rsidR="00FC6226" w:rsidRDefault="000D546A">
      <w:pPr>
        <w:pStyle w:val="TOC3"/>
        <w:rPr>
          <w:rFonts w:asciiTheme="minorHAnsi" w:eastAsiaTheme="minorEastAsia" w:hAnsiTheme="minorHAnsi" w:cstheme="minorBidi"/>
          <w:sz w:val="22"/>
          <w:szCs w:val="22"/>
        </w:rPr>
      </w:pPr>
      <w:hyperlink w:anchor="_Toc3881738" w:history="1">
        <w:r w:rsidR="00FC6226" w:rsidRPr="00DE6240">
          <w:rPr>
            <w:rStyle w:val="Hyperlink"/>
          </w:rPr>
          <w:t>4.1.3</w:t>
        </w:r>
        <w:r w:rsidR="00FC6226">
          <w:rPr>
            <w:rFonts w:asciiTheme="minorHAnsi" w:eastAsiaTheme="minorEastAsia" w:hAnsiTheme="minorHAnsi" w:cstheme="minorBidi"/>
            <w:sz w:val="22"/>
            <w:szCs w:val="22"/>
          </w:rPr>
          <w:tab/>
        </w:r>
        <w:r w:rsidR="00FC6226" w:rsidRPr="00DE6240">
          <w:rPr>
            <w:rStyle w:val="Hyperlink"/>
          </w:rPr>
          <w:t>Levy Amount</w:t>
        </w:r>
        <w:r w:rsidR="00FC6226">
          <w:rPr>
            <w:webHidden/>
          </w:rPr>
          <w:tab/>
        </w:r>
        <w:r w:rsidR="00FC6226">
          <w:rPr>
            <w:webHidden/>
          </w:rPr>
          <w:fldChar w:fldCharType="begin"/>
        </w:r>
        <w:r w:rsidR="00FC6226">
          <w:rPr>
            <w:webHidden/>
          </w:rPr>
          <w:instrText xml:space="preserve"> PAGEREF _Toc3881738 \h </w:instrText>
        </w:r>
        <w:r w:rsidR="00FC6226">
          <w:rPr>
            <w:webHidden/>
          </w:rPr>
        </w:r>
        <w:r w:rsidR="00FC6226">
          <w:rPr>
            <w:webHidden/>
          </w:rPr>
          <w:fldChar w:fldCharType="separate"/>
        </w:r>
        <w:r w:rsidR="00AB18EE">
          <w:rPr>
            <w:webHidden/>
          </w:rPr>
          <w:t>6</w:t>
        </w:r>
        <w:r w:rsidR="00FC6226">
          <w:rPr>
            <w:webHidden/>
          </w:rPr>
          <w:fldChar w:fldCharType="end"/>
        </w:r>
      </w:hyperlink>
    </w:p>
    <w:p w:rsidR="00FC6226" w:rsidRDefault="000D546A">
      <w:pPr>
        <w:pStyle w:val="TOC2"/>
        <w:rPr>
          <w:rFonts w:asciiTheme="minorHAnsi" w:eastAsiaTheme="minorEastAsia" w:hAnsiTheme="minorHAnsi" w:cstheme="minorBidi"/>
          <w:sz w:val="22"/>
          <w:szCs w:val="22"/>
        </w:rPr>
      </w:pPr>
      <w:hyperlink w:anchor="_Toc3881739" w:history="1">
        <w:r w:rsidR="00FC6226" w:rsidRPr="00DE6240">
          <w:rPr>
            <w:rStyle w:val="Hyperlink"/>
          </w:rPr>
          <w:t>4.2</w:t>
        </w:r>
        <w:r w:rsidR="00FC6226">
          <w:rPr>
            <w:rFonts w:asciiTheme="minorHAnsi" w:eastAsiaTheme="minorEastAsia" w:hAnsiTheme="minorHAnsi" w:cstheme="minorBidi"/>
            <w:sz w:val="22"/>
            <w:szCs w:val="22"/>
          </w:rPr>
          <w:tab/>
        </w:r>
        <w:r w:rsidR="00FC6226" w:rsidRPr="00DE6240">
          <w:rPr>
            <w:rStyle w:val="Hyperlink"/>
          </w:rPr>
          <w:t>Billing of Levy</w:t>
        </w:r>
        <w:r w:rsidR="00FC6226">
          <w:rPr>
            <w:webHidden/>
          </w:rPr>
          <w:tab/>
        </w:r>
        <w:r w:rsidR="00FC6226">
          <w:rPr>
            <w:webHidden/>
          </w:rPr>
          <w:fldChar w:fldCharType="begin"/>
        </w:r>
        <w:r w:rsidR="00FC6226">
          <w:rPr>
            <w:webHidden/>
          </w:rPr>
          <w:instrText xml:space="preserve"> PAGEREF _Toc3881739 \h </w:instrText>
        </w:r>
        <w:r w:rsidR="00FC6226">
          <w:rPr>
            <w:webHidden/>
          </w:rPr>
        </w:r>
        <w:r w:rsidR="00FC6226">
          <w:rPr>
            <w:webHidden/>
          </w:rPr>
          <w:fldChar w:fldCharType="separate"/>
        </w:r>
        <w:r w:rsidR="00AB18EE">
          <w:rPr>
            <w:webHidden/>
          </w:rPr>
          <w:t>7</w:t>
        </w:r>
        <w:r w:rsidR="00FC6226">
          <w:rPr>
            <w:webHidden/>
          </w:rPr>
          <w:fldChar w:fldCharType="end"/>
        </w:r>
      </w:hyperlink>
    </w:p>
    <w:p w:rsidR="00FC6226" w:rsidRDefault="000D546A">
      <w:pPr>
        <w:pStyle w:val="TOC2"/>
        <w:rPr>
          <w:rFonts w:asciiTheme="minorHAnsi" w:eastAsiaTheme="minorEastAsia" w:hAnsiTheme="minorHAnsi" w:cstheme="minorBidi"/>
          <w:sz w:val="22"/>
          <w:szCs w:val="22"/>
        </w:rPr>
      </w:pPr>
      <w:hyperlink w:anchor="_Toc3881740" w:history="1">
        <w:r w:rsidR="00FC6226" w:rsidRPr="00DE6240">
          <w:rPr>
            <w:rStyle w:val="Hyperlink"/>
          </w:rPr>
          <w:t>4.3</w:t>
        </w:r>
        <w:r w:rsidR="00FC6226">
          <w:rPr>
            <w:rFonts w:asciiTheme="minorHAnsi" w:eastAsiaTheme="minorEastAsia" w:hAnsiTheme="minorHAnsi" w:cstheme="minorBidi"/>
            <w:sz w:val="22"/>
            <w:szCs w:val="22"/>
          </w:rPr>
          <w:tab/>
        </w:r>
        <w:r w:rsidR="00FC6226" w:rsidRPr="00DE6240">
          <w:rPr>
            <w:rStyle w:val="Hyperlink"/>
          </w:rPr>
          <w:t>Proof of Levy Payment</w:t>
        </w:r>
        <w:r w:rsidR="00FC6226">
          <w:rPr>
            <w:webHidden/>
          </w:rPr>
          <w:tab/>
        </w:r>
        <w:r w:rsidR="00FC6226">
          <w:rPr>
            <w:webHidden/>
          </w:rPr>
          <w:fldChar w:fldCharType="begin"/>
        </w:r>
        <w:r w:rsidR="00FC6226">
          <w:rPr>
            <w:webHidden/>
          </w:rPr>
          <w:instrText xml:space="preserve"> PAGEREF _Toc3881740 \h </w:instrText>
        </w:r>
        <w:r w:rsidR="00FC6226">
          <w:rPr>
            <w:webHidden/>
          </w:rPr>
        </w:r>
        <w:r w:rsidR="00FC6226">
          <w:rPr>
            <w:webHidden/>
          </w:rPr>
          <w:fldChar w:fldCharType="separate"/>
        </w:r>
        <w:r w:rsidR="00AB18EE">
          <w:rPr>
            <w:webHidden/>
          </w:rPr>
          <w:t>7</w:t>
        </w:r>
        <w:r w:rsidR="00FC6226">
          <w:rPr>
            <w:webHidden/>
          </w:rPr>
          <w:fldChar w:fldCharType="end"/>
        </w:r>
      </w:hyperlink>
    </w:p>
    <w:p w:rsidR="00FC6226" w:rsidRDefault="000D546A">
      <w:pPr>
        <w:pStyle w:val="TOC1"/>
        <w:rPr>
          <w:rFonts w:asciiTheme="minorHAnsi" w:eastAsiaTheme="minorEastAsia" w:hAnsiTheme="minorHAnsi" w:cstheme="minorBidi"/>
          <w:b w:val="0"/>
          <w:sz w:val="22"/>
          <w:szCs w:val="22"/>
        </w:rPr>
      </w:pPr>
      <w:hyperlink w:anchor="_Toc3881741" w:history="1">
        <w:r w:rsidR="00FC6226" w:rsidRPr="00DE6240">
          <w:rPr>
            <w:rStyle w:val="Hyperlink"/>
          </w:rPr>
          <w:t>5</w:t>
        </w:r>
        <w:r w:rsidR="00FC6226">
          <w:rPr>
            <w:rFonts w:asciiTheme="minorHAnsi" w:eastAsiaTheme="minorEastAsia" w:hAnsiTheme="minorHAnsi" w:cstheme="minorBidi"/>
            <w:b w:val="0"/>
            <w:sz w:val="22"/>
            <w:szCs w:val="22"/>
          </w:rPr>
          <w:tab/>
        </w:r>
        <w:r w:rsidR="00FC6226" w:rsidRPr="00DE6240">
          <w:rPr>
            <w:rStyle w:val="Hyperlink"/>
          </w:rPr>
          <w:t>Frequently Asked Questions</w:t>
        </w:r>
        <w:r w:rsidR="00FC6226">
          <w:rPr>
            <w:webHidden/>
          </w:rPr>
          <w:tab/>
        </w:r>
        <w:r w:rsidR="00FC6226">
          <w:rPr>
            <w:webHidden/>
          </w:rPr>
          <w:fldChar w:fldCharType="begin"/>
        </w:r>
        <w:r w:rsidR="00FC6226">
          <w:rPr>
            <w:webHidden/>
          </w:rPr>
          <w:instrText xml:space="preserve"> PAGEREF _Toc3881741 \h </w:instrText>
        </w:r>
        <w:r w:rsidR="00FC6226">
          <w:rPr>
            <w:webHidden/>
          </w:rPr>
        </w:r>
        <w:r w:rsidR="00FC6226">
          <w:rPr>
            <w:webHidden/>
          </w:rPr>
          <w:fldChar w:fldCharType="separate"/>
        </w:r>
        <w:r w:rsidR="00AB18EE">
          <w:rPr>
            <w:webHidden/>
          </w:rPr>
          <w:t>7</w:t>
        </w:r>
        <w:r w:rsidR="00FC6226">
          <w:rPr>
            <w:webHidden/>
          </w:rPr>
          <w:fldChar w:fldCharType="end"/>
        </w:r>
      </w:hyperlink>
    </w:p>
    <w:p w:rsidR="00FC6226" w:rsidRDefault="000D546A">
      <w:pPr>
        <w:pStyle w:val="TOC1"/>
        <w:rPr>
          <w:rFonts w:asciiTheme="minorHAnsi" w:eastAsiaTheme="minorEastAsia" w:hAnsiTheme="minorHAnsi" w:cstheme="minorBidi"/>
          <w:b w:val="0"/>
          <w:sz w:val="22"/>
          <w:szCs w:val="22"/>
        </w:rPr>
      </w:pPr>
      <w:hyperlink w:anchor="_Toc3881742" w:history="1">
        <w:r w:rsidR="00FC6226" w:rsidRPr="00DE6240">
          <w:rPr>
            <w:rStyle w:val="Hyperlink"/>
          </w:rPr>
          <w:t>6</w:t>
        </w:r>
        <w:r w:rsidR="00FC6226">
          <w:rPr>
            <w:rFonts w:asciiTheme="minorHAnsi" w:eastAsiaTheme="minorEastAsia" w:hAnsiTheme="minorHAnsi" w:cstheme="minorBidi"/>
            <w:b w:val="0"/>
            <w:sz w:val="22"/>
            <w:szCs w:val="22"/>
          </w:rPr>
          <w:tab/>
        </w:r>
        <w:r w:rsidR="00FC6226" w:rsidRPr="00DE6240">
          <w:rPr>
            <w:rStyle w:val="Hyperlink"/>
          </w:rPr>
          <w:t>Further Information</w:t>
        </w:r>
        <w:r w:rsidR="00FC6226">
          <w:rPr>
            <w:webHidden/>
          </w:rPr>
          <w:tab/>
        </w:r>
        <w:r w:rsidR="00FC6226">
          <w:rPr>
            <w:webHidden/>
          </w:rPr>
          <w:fldChar w:fldCharType="begin"/>
        </w:r>
        <w:r w:rsidR="00FC6226">
          <w:rPr>
            <w:webHidden/>
          </w:rPr>
          <w:instrText xml:space="preserve"> PAGEREF _Toc3881742 \h </w:instrText>
        </w:r>
        <w:r w:rsidR="00FC6226">
          <w:rPr>
            <w:webHidden/>
          </w:rPr>
        </w:r>
        <w:r w:rsidR="00FC6226">
          <w:rPr>
            <w:webHidden/>
          </w:rPr>
          <w:fldChar w:fldCharType="separate"/>
        </w:r>
        <w:r w:rsidR="00AB18EE">
          <w:rPr>
            <w:webHidden/>
          </w:rPr>
          <w:t>8</w:t>
        </w:r>
        <w:r w:rsidR="00FC6226">
          <w:rPr>
            <w:webHidden/>
          </w:rPr>
          <w:fldChar w:fldCharType="end"/>
        </w:r>
      </w:hyperlink>
    </w:p>
    <w:p w:rsidR="00FD6D8A" w:rsidRDefault="00FD6D8A" w:rsidP="00FD6D8A">
      <w:r w:rsidRPr="00894961">
        <w:rPr>
          <w:b/>
          <w:bCs/>
          <w:noProof/>
          <w:sz w:val="22"/>
          <w:szCs w:val="22"/>
        </w:rPr>
        <w:fldChar w:fldCharType="end"/>
      </w:r>
    </w:p>
    <w:p w:rsidR="00FD6D8A" w:rsidRDefault="00FD6D8A" w:rsidP="00FD6D8A"/>
    <w:p w:rsidR="00FD6D8A" w:rsidRDefault="00FD6D8A" w:rsidP="00FD6D8A">
      <w:pPr>
        <w:tabs>
          <w:tab w:val="clear" w:pos="9582"/>
        </w:tabs>
        <w:spacing w:after="0" w:line="240" w:lineRule="auto"/>
      </w:pPr>
      <w:r>
        <w:br w:type="page"/>
      </w:r>
    </w:p>
    <w:p w:rsidR="00FD6D8A" w:rsidRDefault="00FD6D8A" w:rsidP="00FD6D8A">
      <w:pPr>
        <w:pStyle w:val="Heading1"/>
        <w:numPr>
          <w:ilvl w:val="0"/>
          <w:numId w:val="9"/>
        </w:numPr>
        <w:tabs>
          <w:tab w:val="clear" w:pos="9582"/>
          <w:tab w:val="right" w:pos="426"/>
        </w:tabs>
      </w:pPr>
      <w:bookmarkStart w:id="2" w:name="_Toc3881726"/>
      <w:bookmarkEnd w:id="1"/>
      <w:r>
        <w:lastRenderedPageBreak/>
        <w:t>P</w:t>
      </w:r>
      <w:r w:rsidR="00FC6226">
        <w:t>urpose</w:t>
      </w:r>
      <w:bookmarkEnd w:id="2"/>
    </w:p>
    <w:p w:rsidR="00FD6D8A" w:rsidRDefault="00FD6D8A" w:rsidP="00FD6D8A">
      <w:pPr>
        <w:rPr>
          <w:sz w:val="22"/>
          <w:szCs w:val="22"/>
        </w:rPr>
      </w:pPr>
      <w:r w:rsidRPr="005A5A78">
        <w:rPr>
          <w:sz w:val="22"/>
          <w:szCs w:val="22"/>
        </w:rPr>
        <w:t xml:space="preserve">The independent Insurance Authority (IA) was established on 26th June 2017 to replace the OCI in Hong Kong. The </w:t>
      </w:r>
      <w:r>
        <w:rPr>
          <w:sz w:val="22"/>
          <w:szCs w:val="22"/>
        </w:rPr>
        <w:t>IA is to be self-financing</w:t>
      </w:r>
      <w:r w:rsidRPr="005A5A78">
        <w:rPr>
          <w:sz w:val="22"/>
          <w:szCs w:val="22"/>
        </w:rPr>
        <w:t xml:space="preserve"> with income streams both from the insurance industry and through the introduction of a policyholder levy (‘the levy’). </w:t>
      </w:r>
    </w:p>
    <w:p w:rsidR="00FD6D8A" w:rsidRPr="005A5A78" w:rsidRDefault="00FD6D8A" w:rsidP="00FD6D8A">
      <w:pPr>
        <w:rPr>
          <w:sz w:val="22"/>
          <w:szCs w:val="22"/>
        </w:rPr>
      </w:pPr>
      <w:r w:rsidRPr="005A5A78">
        <w:rPr>
          <w:sz w:val="22"/>
          <w:szCs w:val="22"/>
        </w:rPr>
        <w:t>The long-term target is for the IA to be financially independent of the government, with about 70% of its expenditure being met by the levy and the remaining 30% by annual authorisation fees. These fees will consist of two elements, a fixed fee of HKD 300,000 for general insurers (HKD 600,000 for composite insurers) and a variable fee of 0.0039% on insurance liabilities (capped at HKD 7 million for general insurers or HKD 14 million for a composite insurer).</w:t>
      </w:r>
    </w:p>
    <w:p w:rsidR="00FD6D8A" w:rsidRPr="005A5A78" w:rsidRDefault="00FD6D8A" w:rsidP="00FD6D8A">
      <w:pPr>
        <w:rPr>
          <w:sz w:val="22"/>
          <w:szCs w:val="22"/>
        </w:rPr>
      </w:pPr>
      <w:r w:rsidRPr="005A5A78">
        <w:rPr>
          <w:sz w:val="22"/>
          <w:szCs w:val="22"/>
        </w:rPr>
        <w:t xml:space="preserve">The purpose of this document is to explain how Lloyd’s will approach the payment of the levy to the IA, and the implications </w:t>
      </w:r>
      <w:r>
        <w:rPr>
          <w:sz w:val="22"/>
          <w:szCs w:val="22"/>
        </w:rPr>
        <w:t>for</w:t>
      </w:r>
      <w:r w:rsidRPr="005A5A78">
        <w:rPr>
          <w:sz w:val="22"/>
          <w:szCs w:val="22"/>
        </w:rPr>
        <w:t xml:space="preserve"> HK coverholders and service companies.</w:t>
      </w:r>
    </w:p>
    <w:p w:rsidR="00FD6D8A" w:rsidRDefault="00FD6D8A" w:rsidP="00FD6D8A"/>
    <w:p w:rsidR="00FD6D8A" w:rsidRDefault="00FD6D8A" w:rsidP="00FD6D8A">
      <w:pPr>
        <w:pStyle w:val="Heading1"/>
        <w:numPr>
          <w:ilvl w:val="0"/>
          <w:numId w:val="9"/>
        </w:numPr>
        <w:tabs>
          <w:tab w:val="clear" w:pos="9582"/>
          <w:tab w:val="right" w:pos="426"/>
        </w:tabs>
      </w:pPr>
      <w:bookmarkStart w:id="3" w:name="_Toc495477630"/>
      <w:bookmarkStart w:id="4" w:name="_Toc3881727"/>
      <w:r>
        <w:t>Summary</w:t>
      </w:r>
      <w:bookmarkEnd w:id="3"/>
      <w:bookmarkEnd w:id="4"/>
    </w:p>
    <w:p w:rsidR="00CE2581" w:rsidRDefault="00FD6D8A" w:rsidP="00CE2581">
      <w:pPr>
        <w:pStyle w:val="ListBullet"/>
        <w:tabs>
          <w:tab w:val="clear" w:pos="9582"/>
          <w:tab w:val="right" w:pos="5897"/>
        </w:tabs>
        <w:ind w:left="357" w:hanging="357"/>
        <w:contextualSpacing w:val="0"/>
        <w:rPr>
          <w:sz w:val="22"/>
          <w:szCs w:val="22"/>
        </w:rPr>
      </w:pPr>
      <w:r w:rsidRPr="005A5A78">
        <w:rPr>
          <w:sz w:val="22"/>
          <w:szCs w:val="22"/>
        </w:rPr>
        <w:t xml:space="preserve">The IA requires that insurers collect a premium levy from policyholders for certain lines of business </w:t>
      </w:r>
      <w:r>
        <w:rPr>
          <w:sz w:val="22"/>
          <w:szCs w:val="22"/>
        </w:rPr>
        <w:t xml:space="preserve">to fund its operations from 1 January </w:t>
      </w:r>
      <w:r w:rsidRPr="005A5A78">
        <w:rPr>
          <w:sz w:val="22"/>
          <w:szCs w:val="22"/>
        </w:rPr>
        <w:t xml:space="preserve">2018. </w:t>
      </w:r>
    </w:p>
    <w:p w:rsidR="00FD6D8A" w:rsidRPr="005A5A78" w:rsidRDefault="00FD6D8A" w:rsidP="00CE2581">
      <w:pPr>
        <w:pStyle w:val="ListBullet"/>
        <w:tabs>
          <w:tab w:val="clear" w:pos="9582"/>
          <w:tab w:val="right" w:pos="5897"/>
        </w:tabs>
        <w:ind w:left="357" w:hanging="357"/>
        <w:contextualSpacing w:val="0"/>
        <w:rPr>
          <w:sz w:val="22"/>
          <w:szCs w:val="22"/>
        </w:rPr>
      </w:pPr>
      <w:r w:rsidRPr="005A5A78">
        <w:rPr>
          <w:sz w:val="22"/>
          <w:szCs w:val="22"/>
        </w:rPr>
        <w:t>Due to complexities around reporting and audits, Lloyd’s syndicates will initially exercise a temporary option to centrally pay the l</w:t>
      </w:r>
      <w:r w:rsidR="00CE2581">
        <w:rPr>
          <w:sz w:val="22"/>
          <w:szCs w:val="22"/>
        </w:rPr>
        <w:t xml:space="preserve">evy on behalf of policyholders. No levy is to be directly collected from policyholders for a policy written on behalf of a Lloyd’s syndicate. </w:t>
      </w:r>
    </w:p>
    <w:p w:rsidR="00CE2581" w:rsidRDefault="00CE2581" w:rsidP="00CE2581">
      <w:pPr>
        <w:pStyle w:val="ListBullet"/>
        <w:tabs>
          <w:tab w:val="clear" w:pos="9582"/>
          <w:tab w:val="right" w:pos="5897"/>
        </w:tabs>
        <w:ind w:left="357" w:hanging="357"/>
        <w:contextualSpacing w:val="0"/>
        <w:rPr>
          <w:sz w:val="22"/>
          <w:szCs w:val="22"/>
        </w:rPr>
      </w:pPr>
      <w:r>
        <w:rPr>
          <w:sz w:val="22"/>
          <w:szCs w:val="22"/>
        </w:rPr>
        <w:t xml:space="preserve">The levy, payable centrally by Lloyd’s syndicates, only applies to a policy written by a Hong Kong domiciled Coverholder or service company, for risks located both in Hong Kong and overseas. </w:t>
      </w:r>
      <w:r w:rsidR="00FD6D8A" w:rsidRPr="005A5A78">
        <w:rPr>
          <w:sz w:val="22"/>
          <w:szCs w:val="22"/>
        </w:rPr>
        <w:tab/>
      </w:r>
    </w:p>
    <w:p w:rsidR="00FD6D8A" w:rsidRPr="005A5A78" w:rsidRDefault="00FD6D8A" w:rsidP="00CE2581">
      <w:pPr>
        <w:pStyle w:val="ListBullet"/>
        <w:tabs>
          <w:tab w:val="clear" w:pos="9582"/>
          <w:tab w:val="right" w:pos="5897"/>
        </w:tabs>
        <w:ind w:left="357" w:hanging="357"/>
        <w:contextualSpacing w:val="0"/>
        <w:rPr>
          <w:sz w:val="22"/>
          <w:szCs w:val="22"/>
        </w:rPr>
      </w:pPr>
      <w:r w:rsidRPr="005A5A78">
        <w:rPr>
          <w:sz w:val="22"/>
          <w:szCs w:val="22"/>
        </w:rPr>
        <w:t xml:space="preserve">A change </w:t>
      </w:r>
      <w:r>
        <w:rPr>
          <w:sz w:val="22"/>
          <w:szCs w:val="22"/>
        </w:rPr>
        <w:t xml:space="preserve">has been </w:t>
      </w:r>
      <w:r w:rsidRPr="005A5A78">
        <w:rPr>
          <w:sz w:val="22"/>
          <w:szCs w:val="22"/>
        </w:rPr>
        <w:t xml:space="preserve">made to the monthly risk bordereaux template to enable Lloyd’s to centrally report and pay the levy. </w:t>
      </w:r>
    </w:p>
    <w:p w:rsidR="00FD6D8A" w:rsidRPr="005A5A78" w:rsidRDefault="00FD6D8A" w:rsidP="00CE2581">
      <w:pPr>
        <w:pStyle w:val="ListBullet"/>
        <w:tabs>
          <w:tab w:val="clear" w:pos="9582"/>
          <w:tab w:val="right" w:pos="5897"/>
        </w:tabs>
        <w:ind w:left="357" w:hanging="357"/>
        <w:contextualSpacing w:val="0"/>
        <w:rPr>
          <w:sz w:val="22"/>
          <w:szCs w:val="22"/>
        </w:rPr>
      </w:pPr>
      <w:r w:rsidRPr="005A5A78">
        <w:rPr>
          <w:sz w:val="22"/>
          <w:szCs w:val="22"/>
        </w:rPr>
        <w:t>Coverholders and service companies may be required to produce documentation for policyholders certifying that the levy has been paid.</w:t>
      </w:r>
    </w:p>
    <w:p w:rsidR="00FD6D8A" w:rsidRDefault="00FD6D8A" w:rsidP="00FD6D8A">
      <w:pPr>
        <w:pStyle w:val="ListBullet"/>
        <w:numPr>
          <w:ilvl w:val="0"/>
          <w:numId w:val="0"/>
        </w:numPr>
        <w:ind w:left="360" w:hanging="360"/>
      </w:pPr>
    </w:p>
    <w:p w:rsidR="00FD6D8A" w:rsidRDefault="00FD6D8A" w:rsidP="00FD6D8A">
      <w:pPr>
        <w:pStyle w:val="Heading1"/>
        <w:numPr>
          <w:ilvl w:val="0"/>
          <w:numId w:val="9"/>
        </w:numPr>
        <w:tabs>
          <w:tab w:val="clear" w:pos="9582"/>
          <w:tab w:val="right" w:pos="426"/>
        </w:tabs>
      </w:pPr>
      <w:bookmarkStart w:id="5" w:name="_Toc495477631"/>
      <w:bookmarkStart w:id="6" w:name="_Toc3881728"/>
      <w:r>
        <w:t>Implementation</w:t>
      </w:r>
      <w:bookmarkEnd w:id="5"/>
      <w:bookmarkEnd w:id="6"/>
    </w:p>
    <w:p w:rsidR="00FD6D8A" w:rsidRDefault="00FD6D8A" w:rsidP="00FD6D8A">
      <w:pPr>
        <w:pStyle w:val="Heading2"/>
        <w:numPr>
          <w:ilvl w:val="1"/>
          <w:numId w:val="8"/>
        </w:numPr>
        <w:tabs>
          <w:tab w:val="clear" w:pos="9582"/>
          <w:tab w:val="right" w:pos="426"/>
        </w:tabs>
      </w:pPr>
      <w:bookmarkStart w:id="7" w:name="_Toc495477632"/>
      <w:bookmarkStart w:id="8" w:name="_Toc3881729"/>
      <w:r>
        <w:t>Affected Business</w:t>
      </w:r>
      <w:bookmarkEnd w:id="7"/>
      <w:bookmarkEnd w:id="8"/>
    </w:p>
    <w:p w:rsidR="00FD6D8A" w:rsidRDefault="00FD6D8A" w:rsidP="00FD6D8A">
      <w:pPr>
        <w:rPr>
          <w:sz w:val="22"/>
          <w:szCs w:val="22"/>
        </w:rPr>
      </w:pPr>
    </w:p>
    <w:p w:rsidR="00FD6D8A" w:rsidRDefault="00FD6D8A" w:rsidP="00FD6D8A">
      <w:pPr>
        <w:rPr>
          <w:sz w:val="22"/>
          <w:szCs w:val="22"/>
        </w:rPr>
      </w:pPr>
      <w:r w:rsidRPr="005A5A78">
        <w:rPr>
          <w:sz w:val="22"/>
          <w:szCs w:val="22"/>
        </w:rPr>
        <w:t>The levy applie</w:t>
      </w:r>
      <w:r w:rsidR="00CE2581">
        <w:rPr>
          <w:sz w:val="22"/>
          <w:szCs w:val="22"/>
        </w:rPr>
        <w:t>d</w:t>
      </w:r>
      <w:r w:rsidRPr="005A5A78">
        <w:rPr>
          <w:sz w:val="22"/>
          <w:szCs w:val="22"/>
        </w:rPr>
        <w:t xml:space="preserve"> to all business underwritten in Hong Kong on or after 1 January 2018, with the ex</w:t>
      </w:r>
      <w:r>
        <w:rPr>
          <w:sz w:val="22"/>
          <w:szCs w:val="22"/>
        </w:rPr>
        <w:t>ce</w:t>
      </w:r>
      <w:r w:rsidRPr="005A5A78">
        <w:rPr>
          <w:sz w:val="22"/>
          <w:szCs w:val="22"/>
        </w:rPr>
        <w:t xml:space="preserve">ption of </w:t>
      </w:r>
      <w:r>
        <w:rPr>
          <w:sz w:val="22"/>
          <w:szCs w:val="22"/>
        </w:rPr>
        <w:t xml:space="preserve">Marine, Aviation and Transport business and all </w:t>
      </w:r>
      <w:r w:rsidRPr="005A5A78">
        <w:rPr>
          <w:sz w:val="22"/>
          <w:szCs w:val="22"/>
        </w:rPr>
        <w:t>reinsurance</w:t>
      </w:r>
      <w:r>
        <w:rPr>
          <w:sz w:val="22"/>
          <w:szCs w:val="22"/>
        </w:rPr>
        <w:t xml:space="preserve"> contracts</w:t>
      </w:r>
      <w:r w:rsidRPr="005A5A78">
        <w:rPr>
          <w:sz w:val="22"/>
          <w:szCs w:val="22"/>
        </w:rPr>
        <w:t>.</w:t>
      </w:r>
    </w:p>
    <w:p w:rsidR="00FD6D8A" w:rsidRDefault="00FD6D8A" w:rsidP="00FD6D8A">
      <w:pPr>
        <w:pStyle w:val="ListBullet"/>
        <w:numPr>
          <w:ilvl w:val="0"/>
          <w:numId w:val="0"/>
        </w:numPr>
      </w:pPr>
      <w:r>
        <w:rPr>
          <w:sz w:val="22"/>
          <w:szCs w:val="22"/>
        </w:rPr>
        <w:t>Marine insurance and reinsurance is exempt from the application of the levy, but the IA has stipulated that the definition of “marine” only encompasses classes 5 (Aircraft), 6 (Ships), 7 (Goods in Transit), 11 (Aircraft Liability) and 12 (Liability for Ships) as described in Part 3 of Schedule 1 of the Insurance Companies Ordinance (see below).  Therefore, for example, coverage for freight forwarders, logistic operators</w:t>
      </w:r>
      <w:r w:rsidR="00CE2581">
        <w:rPr>
          <w:sz w:val="22"/>
          <w:szCs w:val="22"/>
        </w:rPr>
        <w:t>, specie and stock</w:t>
      </w:r>
      <w:r>
        <w:rPr>
          <w:sz w:val="22"/>
          <w:szCs w:val="22"/>
        </w:rPr>
        <w:t>, port</w:t>
      </w:r>
      <w:r w:rsidR="00CE2581">
        <w:rPr>
          <w:sz w:val="22"/>
          <w:szCs w:val="22"/>
        </w:rPr>
        <w:t>s and</w:t>
      </w:r>
      <w:r>
        <w:rPr>
          <w:sz w:val="22"/>
          <w:szCs w:val="22"/>
        </w:rPr>
        <w:t xml:space="preserve"> terminals, warehouses, etc., would not be included within the definition of marine and are subject to the levy.</w:t>
      </w:r>
    </w:p>
    <w:p w:rsidR="00FD6D8A" w:rsidRDefault="00FD6D8A" w:rsidP="00FD6D8A">
      <w:pPr>
        <w:rPr>
          <w:sz w:val="22"/>
          <w:szCs w:val="22"/>
        </w:rPr>
      </w:pPr>
      <w:r w:rsidRPr="0072318F">
        <w:rPr>
          <w:sz w:val="22"/>
          <w:szCs w:val="22"/>
        </w:rPr>
        <w:t xml:space="preserve">In the context of the Hong Kong regulatory reporting process this means that classes falling within Aircraft Damage and Liability, Ships Damage and Liability (Hull &amp; Machinery; Local Vessels Liability; Forwarder Liability; Protection and Indemnity; Others) and Goods in Transit will only be exempt from the levy when the business falls within the definitions below. This will be of particular relevance to the Forwarder Liability, Ships Damage and Liability Others, and Goods in Transit classes. </w:t>
      </w:r>
    </w:p>
    <w:p w:rsidR="00FD6D8A" w:rsidRDefault="00FD6D8A" w:rsidP="00FD6D8A"/>
    <w:p w:rsidR="00FD6D8A" w:rsidRDefault="00FD6D8A" w:rsidP="00FD6D8A"/>
    <w:p w:rsidR="00FD6D8A" w:rsidRDefault="00FD6D8A" w:rsidP="00FD6D8A"/>
    <w:p w:rsidR="00FD6D8A" w:rsidRDefault="00FD6D8A" w:rsidP="00FD6D8A"/>
    <w:tbl>
      <w:tblPr>
        <w:tblW w:w="9630" w:type="dxa"/>
        <w:tblCellMar>
          <w:left w:w="0" w:type="dxa"/>
          <w:right w:w="0" w:type="dxa"/>
        </w:tblCellMar>
        <w:tblLook w:val="04A0" w:firstRow="1" w:lastRow="0" w:firstColumn="1" w:lastColumn="0" w:noHBand="0" w:noVBand="1"/>
      </w:tblPr>
      <w:tblGrid>
        <w:gridCol w:w="750"/>
        <w:gridCol w:w="1458"/>
        <w:gridCol w:w="7422"/>
      </w:tblGrid>
      <w:tr w:rsidR="00FD6D8A" w:rsidTr="00BC0C49">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6D8A" w:rsidRPr="0058421A" w:rsidRDefault="00FD6D8A" w:rsidP="00BC0C49">
            <w:pPr>
              <w:rPr>
                <w:rFonts w:eastAsia="Calibri" w:cs="Arial"/>
                <w:b/>
                <w:bCs/>
                <w:sz w:val="20"/>
                <w:lang w:eastAsia="en-US"/>
              </w:rPr>
            </w:pPr>
            <w:r>
              <w:rPr>
                <w:rFonts w:cs="Arial"/>
                <w:b/>
                <w:bCs/>
                <w:sz w:val="20"/>
                <w:lang w:eastAsia="en-US"/>
              </w:rPr>
              <w:t>Class</w:t>
            </w:r>
          </w:p>
        </w:tc>
        <w:tc>
          <w:tcPr>
            <w:tcW w:w="14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D6D8A" w:rsidRPr="0058421A" w:rsidRDefault="00FD6D8A" w:rsidP="00BC0C49">
            <w:pPr>
              <w:rPr>
                <w:rFonts w:eastAsia="Calibri" w:cs="Arial"/>
                <w:b/>
                <w:bCs/>
                <w:sz w:val="20"/>
                <w:lang w:eastAsia="en-US"/>
              </w:rPr>
            </w:pPr>
            <w:r>
              <w:rPr>
                <w:rFonts w:cs="Arial"/>
                <w:b/>
                <w:bCs/>
                <w:sz w:val="20"/>
                <w:lang w:eastAsia="en-US"/>
              </w:rPr>
              <w:t>Description</w:t>
            </w:r>
          </w:p>
        </w:tc>
        <w:tc>
          <w:tcPr>
            <w:tcW w:w="74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D6D8A" w:rsidRPr="0058421A" w:rsidRDefault="00FD6D8A" w:rsidP="00BC0C49">
            <w:pPr>
              <w:rPr>
                <w:rFonts w:eastAsia="Calibri" w:cs="Arial"/>
                <w:b/>
                <w:bCs/>
                <w:sz w:val="20"/>
                <w:lang w:eastAsia="en-US"/>
              </w:rPr>
            </w:pPr>
            <w:r>
              <w:rPr>
                <w:rFonts w:cs="Arial"/>
                <w:b/>
                <w:bCs/>
                <w:sz w:val="20"/>
                <w:lang w:eastAsia="en-US"/>
              </w:rPr>
              <w:t>Nature of Business</w:t>
            </w:r>
          </w:p>
        </w:tc>
      </w:tr>
      <w:tr w:rsidR="00FD6D8A" w:rsidTr="00BC0C4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5</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Aircraft</w:t>
            </w:r>
          </w:p>
        </w:tc>
        <w:tc>
          <w:tcPr>
            <w:tcW w:w="7422"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Effecting and carrying out contracts of insurance upon aircraft or upon the machinery, tackle, furniture or equipment of aircraft.</w:t>
            </w:r>
          </w:p>
        </w:tc>
      </w:tr>
      <w:tr w:rsidR="00FD6D8A" w:rsidTr="00BC0C4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6</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Ships</w:t>
            </w:r>
          </w:p>
        </w:tc>
        <w:tc>
          <w:tcPr>
            <w:tcW w:w="7422"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Effecting and carrying out contracts of insurance upon vessels used on the sea or on inland water, or upon the machinery, tackle, furniture or equipment of such vessels.</w:t>
            </w:r>
          </w:p>
        </w:tc>
      </w:tr>
      <w:tr w:rsidR="00FD6D8A" w:rsidTr="00BC0C4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7</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Goods in transit</w:t>
            </w:r>
          </w:p>
        </w:tc>
        <w:tc>
          <w:tcPr>
            <w:tcW w:w="7422"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Effecting and carrying out contracts of insurance against loss of or damage to merchandise, baggage and all other goods in transit, irrespective of the form of transport.</w:t>
            </w:r>
          </w:p>
        </w:tc>
      </w:tr>
      <w:tr w:rsidR="00FD6D8A" w:rsidTr="00BC0C4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11</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Aircraft liability</w:t>
            </w:r>
          </w:p>
        </w:tc>
        <w:tc>
          <w:tcPr>
            <w:tcW w:w="7422"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Effecting and carrying out contracts of insurance against damage arising out of or in connection with the use of aircraft, including third-party risks and carrier’s liability.</w:t>
            </w:r>
          </w:p>
        </w:tc>
      </w:tr>
      <w:tr w:rsidR="00FD6D8A" w:rsidTr="00BC0C4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12</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Liability for ships</w:t>
            </w:r>
          </w:p>
        </w:tc>
        <w:tc>
          <w:tcPr>
            <w:tcW w:w="7422" w:type="dxa"/>
            <w:tcBorders>
              <w:top w:val="nil"/>
              <w:left w:val="nil"/>
              <w:bottom w:val="single" w:sz="8" w:space="0" w:color="auto"/>
              <w:right w:val="single" w:sz="8" w:space="0" w:color="auto"/>
            </w:tcBorders>
            <w:tcMar>
              <w:top w:w="0" w:type="dxa"/>
              <w:left w:w="108" w:type="dxa"/>
              <w:bottom w:w="0" w:type="dxa"/>
              <w:right w:w="108" w:type="dxa"/>
            </w:tcMar>
            <w:hideMark/>
          </w:tcPr>
          <w:p w:rsidR="00FD6D8A" w:rsidRPr="0058421A" w:rsidRDefault="00FD6D8A" w:rsidP="00BC0C49">
            <w:pPr>
              <w:rPr>
                <w:rFonts w:eastAsia="Calibri" w:cs="Arial"/>
                <w:sz w:val="20"/>
                <w:lang w:eastAsia="en-US"/>
              </w:rPr>
            </w:pPr>
            <w:r>
              <w:rPr>
                <w:rFonts w:cs="Arial"/>
                <w:sz w:val="20"/>
                <w:lang w:eastAsia="en-US"/>
              </w:rPr>
              <w:t>Effecting and carrying out contracts of insurance against damage arising out of or in connection with the use of vessels on the sea or on inland water, including third-party risks and carrier’s liability.</w:t>
            </w:r>
          </w:p>
        </w:tc>
      </w:tr>
    </w:tbl>
    <w:p w:rsidR="00FD6D8A" w:rsidRPr="00014130" w:rsidRDefault="00FD6D8A" w:rsidP="00FD6D8A">
      <w:pPr>
        <w:rPr>
          <w:sz w:val="22"/>
          <w:szCs w:val="22"/>
        </w:rPr>
      </w:pPr>
    </w:p>
    <w:p w:rsidR="00FD6D8A" w:rsidRDefault="00FD6D8A" w:rsidP="00FD6D8A">
      <w:pPr>
        <w:pStyle w:val="Heading2"/>
        <w:numPr>
          <w:ilvl w:val="1"/>
          <w:numId w:val="8"/>
        </w:numPr>
        <w:tabs>
          <w:tab w:val="clear" w:pos="9582"/>
          <w:tab w:val="right" w:pos="426"/>
        </w:tabs>
      </w:pPr>
      <w:bookmarkStart w:id="9" w:name="_Toc495477633"/>
      <w:bookmarkStart w:id="10" w:name="_Toc3881730"/>
      <w:r>
        <w:t>Levy Rate</w:t>
      </w:r>
      <w:bookmarkEnd w:id="9"/>
      <w:bookmarkEnd w:id="10"/>
    </w:p>
    <w:p w:rsidR="00FD6D8A" w:rsidRPr="005A5A78" w:rsidRDefault="00FD6D8A" w:rsidP="00FD6D8A">
      <w:pPr>
        <w:rPr>
          <w:sz w:val="22"/>
          <w:szCs w:val="22"/>
        </w:rPr>
      </w:pPr>
      <w:r w:rsidRPr="005A5A78">
        <w:rPr>
          <w:sz w:val="22"/>
          <w:szCs w:val="22"/>
        </w:rPr>
        <w:t>The levy will be calculated as a percentage of the gross premium and the levy rate will gradually increase over the first 3 years, as set out in the table below.</w:t>
      </w:r>
    </w:p>
    <w:p w:rsidR="00FD6D8A" w:rsidRDefault="00FD6D8A" w:rsidP="00FD6D8A">
      <w:pPr>
        <w:rPr>
          <w:sz w:val="22"/>
          <w:szCs w:val="22"/>
        </w:rPr>
      </w:pPr>
      <w:r w:rsidRPr="005A5A78">
        <w:rPr>
          <w:sz w:val="22"/>
          <w:szCs w:val="22"/>
        </w:rPr>
        <w:t>The rate for determining the levy will be determined by the policy inception date or anniversary date (i.e. renewal date).  The same rate will apply throughout the policy year irrespective of whether the policy year straddles more than one levy band and irrespective of the period of coverage by the policy.</w:t>
      </w:r>
    </w:p>
    <w:p w:rsidR="00FD6D8A" w:rsidRDefault="00FD6D8A" w:rsidP="00FD6D8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47"/>
      </w:tblGrid>
      <w:tr w:rsidR="00FD6D8A" w:rsidRPr="00B12619" w:rsidTr="00BC0C49">
        <w:tc>
          <w:tcPr>
            <w:tcW w:w="7196" w:type="dxa"/>
            <w:shd w:val="clear" w:color="auto" w:fill="auto"/>
          </w:tcPr>
          <w:p w:rsidR="00FD6D8A" w:rsidRPr="005B3EA9" w:rsidRDefault="00FD6D8A" w:rsidP="00BC0C49">
            <w:pPr>
              <w:spacing w:after="0" w:line="280" w:lineRule="atLeast"/>
              <w:rPr>
                <w:rFonts w:cs="Arial"/>
                <w:b/>
                <w:sz w:val="22"/>
                <w:szCs w:val="22"/>
                <w:lang w:eastAsia="en-US"/>
              </w:rPr>
            </w:pPr>
            <w:r w:rsidRPr="005B3EA9">
              <w:rPr>
                <w:rFonts w:cs="Arial"/>
                <w:b/>
                <w:sz w:val="22"/>
                <w:szCs w:val="22"/>
                <w:lang w:eastAsia="en-US"/>
              </w:rPr>
              <w:t>A policy inception date, or a policy inception anniversary date (as the case may be) which marks the beginning of a policy year</w:t>
            </w:r>
          </w:p>
        </w:tc>
        <w:tc>
          <w:tcPr>
            <w:tcW w:w="2047" w:type="dxa"/>
            <w:shd w:val="clear" w:color="auto" w:fill="auto"/>
          </w:tcPr>
          <w:p w:rsidR="00FD6D8A" w:rsidRPr="005B3EA9" w:rsidRDefault="00FD6D8A" w:rsidP="00BC0C49">
            <w:pPr>
              <w:spacing w:after="0" w:line="280" w:lineRule="atLeast"/>
              <w:rPr>
                <w:rFonts w:cs="Arial"/>
                <w:b/>
                <w:sz w:val="22"/>
                <w:szCs w:val="22"/>
                <w:lang w:eastAsia="en-US"/>
              </w:rPr>
            </w:pPr>
            <w:r w:rsidRPr="005B3EA9">
              <w:rPr>
                <w:rFonts w:cs="Arial"/>
                <w:b/>
                <w:sz w:val="22"/>
                <w:szCs w:val="22"/>
                <w:lang w:eastAsia="en-US"/>
              </w:rPr>
              <w:t>Rate</w:t>
            </w:r>
          </w:p>
        </w:tc>
      </w:tr>
      <w:tr w:rsidR="00FD6D8A" w:rsidRPr="00B12619" w:rsidTr="00BC0C49">
        <w:tc>
          <w:tcPr>
            <w:tcW w:w="7196" w:type="dxa"/>
            <w:shd w:val="clear" w:color="auto" w:fill="auto"/>
          </w:tcPr>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From 1 January 2018 to 31 March 2019 (both dates inclusive)</w:t>
            </w:r>
          </w:p>
        </w:tc>
        <w:tc>
          <w:tcPr>
            <w:tcW w:w="2047" w:type="dxa"/>
            <w:shd w:val="clear" w:color="auto" w:fill="auto"/>
          </w:tcPr>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0.040%</w:t>
            </w:r>
          </w:p>
        </w:tc>
      </w:tr>
      <w:tr w:rsidR="00FD6D8A" w:rsidRPr="00B12619" w:rsidTr="00BC0C49">
        <w:tc>
          <w:tcPr>
            <w:tcW w:w="7196" w:type="dxa"/>
            <w:shd w:val="clear" w:color="auto" w:fill="auto"/>
          </w:tcPr>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From 1 April 2019 to 31 March 2020</w:t>
            </w:r>
          </w:p>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(both dates inclusive)</w:t>
            </w:r>
          </w:p>
        </w:tc>
        <w:tc>
          <w:tcPr>
            <w:tcW w:w="2047" w:type="dxa"/>
            <w:shd w:val="clear" w:color="auto" w:fill="auto"/>
          </w:tcPr>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0.060%</w:t>
            </w:r>
          </w:p>
        </w:tc>
      </w:tr>
      <w:tr w:rsidR="00FD6D8A" w:rsidRPr="00B12619" w:rsidTr="00BC0C49">
        <w:tc>
          <w:tcPr>
            <w:tcW w:w="7196" w:type="dxa"/>
            <w:shd w:val="clear" w:color="auto" w:fill="auto"/>
          </w:tcPr>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From 1 April 2020 to 31 March 2021</w:t>
            </w:r>
          </w:p>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(both dates inclusive)</w:t>
            </w:r>
          </w:p>
        </w:tc>
        <w:tc>
          <w:tcPr>
            <w:tcW w:w="2047" w:type="dxa"/>
            <w:shd w:val="clear" w:color="auto" w:fill="auto"/>
          </w:tcPr>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0.085%</w:t>
            </w:r>
          </w:p>
        </w:tc>
      </w:tr>
      <w:tr w:rsidR="00FD6D8A" w:rsidRPr="00B12619" w:rsidTr="00BC0C49">
        <w:tc>
          <w:tcPr>
            <w:tcW w:w="7196" w:type="dxa"/>
            <w:shd w:val="clear" w:color="auto" w:fill="auto"/>
          </w:tcPr>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From 1 April 2021 onwards</w:t>
            </w:r>
          </w:p>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(inclusive of that date)</w:t>
            </w:r>
          </w:p>
        </w:tc>
        <w:tc>
          <w:tcPr>
            <w:tcW w:w="2047" w:type="dxa"/>
            <w:shd w:val="clear" w:color="auto" w:fill="auto"/>
          </w:tcPr>
          <w:p w:rsidR="00FD6D8A" w:rsidRPr="005B3EA9" w:rsidRDefault="00FD6D8A" w:rsidP="00BC0C49">
            <w:pPr>
              <w:spacing w:after="0" w:line="280" w:lineRule="atLeast"/>
              <w:rPr>
                <w:rFonts w:cs="Arial"/>
                <w:sz w:val="22"/>
                <w:szCs w:val="22"/>
                <w:lang w:eastAsia="en-US"/>
              </w:rPr>
            </w:pPr>
            <w:r w:rsidRPr="005B3EA9">
              <w:rPr>
                <w:rFonts w:cs="Arial"/>
                <w:sz w:val="22"/>
                <w:szCs w:val="22"/>
                <w:lang w:eastAsia="en-US"/>
              </w:rPr>
              <w:t>0.100%</w:t>
            </w:r>
          </w:p>
        </w:tc>
      </w:tr>
    </w:tbl>
    <w:p w:rsidR="00FD6D8A" w:rsidRDefault="00FD6D8A" w:rsidP="00FD6D8A">
      <w:pPr>
        <w:pStyle w:val="Heading2"/>
        <w:numPr>
          <w:ilvl w:val="0"/>
          <w:numId w:val="0"/>
        </w:numPr>
        <w:tabs>
          <w:tab w:val="clear" w:pos="9582"/>
          <w:tab w:val="right" w:pos="426"/>
        </w:tabs>
      </w:pPr>
      <w:bookmarkStart w:id="11" w:name="_Toc495477634"/>
    </w:p>
    <w:p w:rsidR="00FD6D8A" w:rsidRDefault="00FD6D8A" w:rsidP="00FD6D8A">
      <w:pPr>
        <w:pStyle w:val="Heading2"/>
        <w:numPr>
          <w:ilvl w:val="1"/>
          <w:numId w:val="8"/>
        </w:numPr>
        <w:tabs>
          <w:tab w:val="clear" w:pos="9582"/>
          <w:tab w:val="right" w:pos="426"/>
        </w:tabs>
      </w:pPr>
      <w:bookmarkStart w:id="12" w:name="_Toc3881731"/>
      <w:r>
        <w:t>Method of Collection</w:t>
      </w:r>
      <w:bookmarkEnd w:id="11"/>
      <w:bookmarkEnd w:id="12"/>
    </w:p>
    <w:p w:rsidR="00FD6D8A" w:rsidRDefault="00FD6D8A" w:rsidP="00FD6D8A">
      <w:pPr>
        <w:rPr>
          <w:sz w:val="22"/>
          <w:szCs w:val="22"/>
        </w:rPr>
      </w:pPr>
    </w:p>
    <w:p w:rsidR="00FD6D8A" w:rsidRPr="005A5A78" w:rsidRDefault="00FD6D8A" w:rsidP="00FD6D8A">
      <w:pPr>
        <w:rPr>
          <w:sz w:val="22"/>
          <w:szCs w:val="22"/>
        </w:rPr>
      </w:pPr>
      <w:r w:rsidRPr="005A5A78">
        <w:rPr>
          <w:sz w:val="22"/>
          <w:szCs w:val="22"/>
        </w:rPr>
        <w:t>An insurer can choose whether to directly collect the levy from the policyholder (the Actual Remittance Approach) or absorb the levy themselves (the Altern</w:t>
      </w:r>
      <w:r>
        <w:rPr>
          <w:sz w:val="22"/>
          <w:szCs w:val="22"/>
        </w:rPr>
        <w:t>ative Remittance Approach</w:t>
      </w:r>
      <w:r w:rsidRPr="005A5A78">
        <w:rPr>
          <w:sz w:val="22"/>
          <w:szCs w:val="22"/>
        </w:rPr>
        <w:t xml:space="preserve">). </w:t>
      </w:r>
    </w:p>
    <w:p w:rsidR="00FD6D8A" w:rsidRDefault="00FD6D8A" w:rsidP="00FD6D8A">
      <w:pPr>
        <w:rPr>
          <w:sz w:val="22"/>
          <w:szCs w:val="22"/>
        </w:rPr>
      </w:pPr>
      <w:r w:rsidRPr="005A5A78">
        <w:rPr>
          <w:sz w:val="22"/>
          <w:szCs w:val="22"/>
        </w:rPr>
        <w:t xml:space="preserve">Under the Actual Remittance Approach, insurers may adopt a “cash basis” approach (whereby the levy is collected by the insurer when the premium is paid) or an “accrual basis” approach </w:t>
      </w:r>
      <w:r w:rsidRPr="005A5A78">
        <w:rPr>
          <w:sz w:val="22"/>
          <w:szCs w:val="22"/>
        </w:rPr>
        <w:lastRenderedPageBreak/>
        <w:t>(whereby the levy is deemed to have been collected by the insurer once the premium is due, irrespective of when the actual premium is paid) for the reporting and remittance of the levy.</w:t>
      </w:r>
    </w:p>
    <w:p w:rsidR="00CE2581" w:rsidRDefault="00CE2581" w:rsidP="00FD6D8A">
      <w:pPr>
        <w:rPr>
          <w:sz w:val="22"/>
          <w:szCs w:val="22"/>
        </w:rPr>
      </w:pPr>
    </w:p>
    <w:p w:rsidR="00FD6D8A" w:rsidRDefault="00FD6D8A" w:rsidP="00FD6D8A">
      <w:pPr>
        <w:pStyle w:val="Heading3"/>
        <w:numPr>
          <w:ilvl w:val="2"/>
          <w:numId w:val="8"/>
        </w:numPr>
        <w:tabs>
          <w:tab w:val="left" w:pos="567"/>
        </w:tabs>
        <w:spacing w:line="280" w:lineRule="atLeast"/>
      </w:pPr>
      <w:bookmarkStart w:id="13" w:name="_Toc495477635"/>
      <w:bookmarkStart w:id="14" w:name="_Toc3881732"/>
      <w:r>
        <w:t>Lloyd’s Approach</w:t>
      </w:r>
      <w:bookmarkEnd w:id="13"/>
      <w:bookmarkEnd w:id="14"/>
    </w:p>
    <w:p w:rsidR="00FD6D8A" w:rsidRDefault="00FD6D8A" w:rsidP="00FD6D8A">
      <w:pPr>
        <w:rPr>
          <w:sz w:val="22"/>
          <w:szCs w:val="22"/>
        </w:rPr>
      </w:pPr>
    </w:p>
    <w:p w:rsidR="00FD6D8A" w:rsidRPr="005A5A78" w:rsidRDefault="00FD6D8A" w:rsidP="00FD6D8A">
      <w:pPr>
        <w:rPr>
          <w:sz w:val="22"/>
          <w:szCs w:val="22"/>
        </w:rPr>
      </w:pPr>
      <w:r w:rsidRPr="005A5A78">
        <w:rPr>
          <w:sz w:val="22"/>
          <w:szCs w:val="22"/>
        </w:rPr>
        <w:t>Following consultation with the market, Ll</w:t>
      </w:r>
      <w:r>
        <w:rPr>
          <w:sz w:val="22"/>
          <w:szCs w:val="22"/>
        </w:rPr>
        <w:t xml:space="preserve">oyd’s has determined that the Alternative Remittance Approach </w:t>
      </w:r>
      <w:r w:rsidRPr="005A5A78">
        <w:rPr>
          <w:sz w:val="22"/>
          <w:szCs w:val="22"/>
        </w:rPr>
        <w:t xml:space="preserve">will initially be followed. Lloyd’s will adopt the </w:t>
      </w:r>
      <w:r>
        <w:rPr>
          <w:sz w:val="22"/>
          <w:szCs w:val="22"/>
        </w:rPr>
        <w:t>Alternative Remittance Approach</w:t>
      </w:r>
      <w:r w:rsidRPr="005A5A78">
        <w:rPr>
          <w:sz w:val="22"/>
          <w:szCs w:val="22"/>
        </w:rPr>
        <w:t xml:space="preserve"> until it has determined how best it can collect, report and pay the levy to the IA. It should be noted that the IA are currently only allowing a maximum three year transitional period.</w:t>
      </w:r>
    </w:p>
    <w:p w:rsidR="00FD6D8A" w:rsidRPr="005A5A78" w:rsidRDefault="00FD6D8A" w:rsidP="00FD6D8A">
      <w:pPr>
        <w:rPr>
          <w:sz w:val="22"/>
          <w:szCs w:val="22"/>
        </w:rPr>
      </w:pPr>
      <w:r>
        <w:rPr>
          <w:sz w:val="22"/>
          <w:szCs w:val="22"/>
        </w:rPr>
        <w:t>Under the Alternative Remittance Approach</w:t>
      </w:r>
      <w:r w:rsidRPr="005A5A78">
        <w:rPr>
          <w:sz w:val="22"/>
          <w:szCs w:val="22"/>
        </w:rPr>
        <w:t xml:space="preserve">, a remittance will be made twice a year to the IA by Lloyd’s, once by 31 May (for the period 1 October to 31 March) and once by 30 November (for the period 1 April to 30 September). The remittance return will include the calculation of the remittance amount, which will be compiled by Lloyd’s using the information provided by coverholders and service companies in the monthly risk bordereaux.  </w:t>
      </w:r>
    </w:p>
    <w:p w:rsidR="00FD6D8A" w:rsidRDefault="00FD6D8A" w:rsidP="00FD6D8A">
      <w:pPr>
        <w:rPr>
          <w:sz w:val="22"/>
          <w:szCs w:val="22"/>
        </w:rPr>
      </w:pPr>
      <w:r w:rsidRPr="005A5A78">
        <w:rPr>
          <w:sz w:val="22"/>
          <w:szCs w:val="22"/>
        </w:rPr>
        <w:t>Lloyd’s will also be required to submit an annual remittance report to the IA, which will be subject to examination by an auditor appointed by Lloyd’s. The audited remittance report will be submitted in April each year.</w:t>
      </w:r>
    </w:p>
    <w:p w:rsidR="00FD6D8A" w:rsidRDefault="00FD6D8A" w:rsidP="00FD6D8A">
      <w:pPr>
        <w:rPr>
          <w:sz w:val="22"/>
          <w:szCs w:val="22"/>
        </w:rPr>
      </w:pPr>
    </w:p>
    <w:p w:rsidR="00FD6D8A" w:rsidRDefault="00FD6D8A" w:rsidP="00FD6D8A">
      <w:pPr>
        <w:pStyle w:val="Heading2"/>
        <w:numPr>
          <w:ilvl w:val="1"/>
          <w:numId w:val="8"/>
        </w:numPr>
        <w:tabs>
          <w:tab w:val="clear" w:pos="9582"/>
          <w:tab w:val="right" w:pos="426"/>
        </w:tabs>
      </w:pPr>
      <w:bookmarkStart w:id="15" w:name="_Toc495477636"/>
      <w:bookmarkStart w:id="16" w:name="_Toc3881733"/>
      <w:r>
        <w:t>Alternative Remittance Approach Process</w:t>
      </w:r>
      <w:bookmarkEnd w:id="15"/>
      <w:bookmarkEnd w:id="16"/>
    </w:p>
    <w:p w:rsidR="00FD6D8A" w:rsidRPr="00F75F70" w:rsidRDefault="00FD6D8A" w:rsidP="00FD6D8A"/>
    <w:p w:rsidR="00FD6D8A" w:rsidRDefault="00FD6D8A" w:rsidP="00FD6D8A">
      <w:r>
        <w:rPr>
          <w:noProof/>
        </w:rPr>
        <w:drawing>
          <wp:inline distT="0" distB="0" distL="0" distR="0" wp14:anchorId="6CD02C37" wp14:editId="093D2B33">
            <wp:extent cx="4734560" cy="2563495"/>
            <wp:effectExtent l="0" t="0" r="0" b="27305"/>
            <wp:docPr id="16"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E2581" w:rsidRDefault="00CE2581" w:rsidP="00FD6D8A"/>
    <w:p w:rsidR="00FD6D8A" w:rsidRDefault="00FD6D8A" w:rsidP="00FD6D8A">
      <w:pPr>
        <w:pStyle w:val="Heading1"/>
        <w:numPr>
          <w:ilvl w:val="0"/>
          <w:numId w:val="8"/>
        </w:numPr>
        <w:tabs>
          <w:tab w:val="clear" w:pos="9582"/>
          <w:tab w:val="right" w:pos="426"/>
        </w:tabs>
      </w:pPr>
      <w:bookmarkStart w:id="17" w:name="_Toc495477637"/>
      <w:bookmarkStart w:id="18" w:name="_Toc3881734"/>
      <w:r>
        <w:t>Action required by those responsible for HKR bordereaux submission</w:t>
      </w:r>
      <w:bookmarkEnd w:id="17"/>
      <w:bookmarkEnd w:id="18"/>
    </w:p>
    <w:p w:rsidR="00FD6D8A" w:rsidRDefault="00FD6D8A" w:rsidP="00FD6D8A">
      <w:pPr>
        <w:pStyle w:val="Heading2"/>
        <w:numPr>
          <w:ilvl w:val="1"/>
          <w:numId w:val="8"/>
        </w:numPr>
        <w:tabs>
          <w:tab w:val="clear" w:pos="9582"/>
          <w:tab w:val="right" w:pos="426"/>
        </w:tabs>
      </w:pPr>
      <w:bookmarkStart w:id="19" w:name="_Toc495477638"/>
      <w:bookmarkStart w:id="20" w:name="_Toc3881735"/>
      <w:r>
        <w:t>Changes to the monthly risk bordereaux template</w:t>
      </w:r>
      <w:bookmarkEnd w:id="19"/>
      <w:bookmarkEnd w:id="20"/>
    </w:p>
    <w:p w:rsidR="00FD6D8A" w:rsidRDefault="00FD6D8A" w:rsidP="00FD6D8A">
      <w:pPr>
        <w:rPr>
          <w:rFonts w:cs="Arial"/>
          <w:sz w:val="22"/>
          <w:szCs w:val="22"/>
        </w:rPr>
      </w:pPr>
    </w:p>
    <w:p w:rsidR="000D546A" w:rsidRDefault="000D546A" w:rsidP="000D546A">
      <w:pPr>
        <w:rPr>
          <w:rFonts w:cs="Arial"/>
          <w:sz w:val="22"/>
          <w:szCs w:val="22"/>
        </w:rPr>
      </w:pPr>
      <w:r>
        <w:rPr>
          <w:rFonts w:cs="Arial"/>
          <w:sz w:val="22"/>
          <w:szCs w:val="22"/>
        </w:rPr>
        <w:t xml:space="preserve">Three columns were added to the HKR template after the “Management Expenses” column and are named “Coinsurance”, “Total Gross Written Premium” and “Levy Amount”.  </w:t>
      </w:r>
    </w:p>
    <w:p w:rsidR="000D546A" w:rsidRDefault="000D546A" w:rsidP="000D546A">
      <w:pPr>
        <w:rPr>
          <w:rFonts w:cs="Arial"/>
          <w:sz w:val="22"/>
          <w:szCs w:val="22"/>
        </w:rPr>
      </w:pPr>
      <w:r>
        <w:rPr>
          <w:rFonts w:cs="Arial"/>
          <w:sz w:val="22"/>
          <w:szCs w:val="22"/>
        </w:rPr>
        <w:t>The inclusion of these columns provides Lloyd’s with the relevant data to ensure it can meet the reporting and payment obligations relevant to the levy to the IA under the Alternative Remittance Approach and also help aid the transition to the Actual Remittance Approach. Providing that all risks are accurately reported withi</w:t>
      </w:r>
      <w:bookmarkStart w:id="21" w:name="_GoBack"/>
      <w:bookmarkEnd w:id="21"/>
      <w:r>
        <w:rPr>
          <w:rFonts w:cs="Arial"/>
          <w:sz w:val="22"/>
          <w:szCs w:val="22"/>
        </w:rPr>
        <w:t xml:space="preserve">n the HKR template that is submitted, with </w:t>
      </w:r>
      <w:r>
        <w:rPr>
          <w:rFonts w:cs="Arial"/>
          <w:sz w:val="22"/>
          <w:szCs w:val="22"/>
        </w:rPr>
        <w:lastRenderedPageBreak/>
        <w:t xml:space="preserve">the correct levy calculations, the most relevant stakeholder can be assured that Lloyd’s will report and pay the necessary levy to the IA.  A copy of the HKR Template and HKR file specification are available on the CMR website. </w:t>
      </w:r>
    </w:p>
    <w:p w:rsidR="000D546A" w:rsidRDefault="000D546A" w:rsidP="000D546A">
      <w:pPr>
        <w:rPr>
          <w:rFonts w:cs="Arial"/>
          <w:sz w:val="22"/>
          <w:szCs w:val="22"/>
        </w:rPr>
      </w:pPr>
      <w:r>
        <w:rPr>
          <w:rFonts w:cs="Arial"/>
          <w:sz w:val="22"/>
          <w:szCs w:val="22"/>
        </w:rPr>
        <w:t>These columns should be completed as follows:</w:t>
      </w:r>
    </w:p>
    <w:p w:rsidR="00FD6D8A" w:rsidRDefault="00FD6D8A" w:rsidP="00FD6D8A">
      <w:pPr>
        <w:rPr>
          <w:rFonts w:cs="Arial"/>
          <w:sz w:val="22"/>
          <w:szCs w:val="22"/>
        </w:rPr>
      </w:pPr>
    </w:p>
    <w:p w:rsidR="00FD6D8A" w:rsidRPr="005A5A78" w:rsidRDefault="00FD6D8A" w:rsidP="00FD6D8A">
      <w:pPr>
        <w:pStyle w:val="Heading3"/>
        <w:numPr>
          <w:ilvl w:val="2"/>
          <w:numId w:val="8"/>
        </w:numPr>
        <w:tabs>
          <w:tab w:val="left" w:pos="567"/>
        </w:tabs>
        <w:spacing w:line="280" w:lineRule="atLeast"/>
      </w:pPr>
      <w:bookmarkStart w:id="22" w:name="_Toc495477639"/>
      <w:bookmarkStart w:id="23" w:name="_Toc3881736"/>
      <w:r w:rsidRPr="005A5A78">
        <w:t>Coinsurance</w:t>
      </w:r>
      <w:r>
        <w:t xml:space="preserve"> (with non-Lloyd’s insurers</w:t>
      </w:r>
      <w:bookmarkEnd w:id="22"/>
      <w:r>
        <w:t>)</w:t>
      </w:r>
      <w:bookmarkEnd w:id="23"/>
    </w:p>
    <w:p w:rsidR="00FD6D8A" w:rsidRDefault="00FD6D8A" w:rsidP="00FD6D8A">
      <w:pPr>
        <w:rPr>
          <w:rFonts w:cs="Arial"/>
          <w:sz w:val="22"/>
          <w:szCs w:val="22"/>
        </w:rPr>
      </w:pPr>
    </w:p>
    <w:p w:rsidR="00FD6D8A" w:rsidRDefault="00FD6D8A" w:rsidP="00FD6D8A">
      <w:pPr>
        <w:rPr>
          <w:rFonts w:cs="Arial"/>
          <w:sz w:val="22"/>
          <w:szCs w:val="22"/>
        </w:rPr>
      </w:pPr>
      <w:r w:rsidRPr="005A5A78">
        <w:rPr>
          <w:rFonts w:cs="Arial"/>
          <w:sz w:val="22"/>
          <w:szCs w:val="22"/>
        </w:rPr>
        <w:t>The IA has advised that where a syndicate leads a co-insurance policy</w:t>
      </w:r>
      <w:r>
        <w:rPr>
          <w:rFonts w:cs="Arial"/>
          <w:sz w:val="22"/>
          <w:szCs w:val="22"/>
        </w:rPr>
        <w:t xml:space="preserve"> with non-Lloyd’s insurers</w:t>
      </w:r>
      <w:r w:rsidRPr="005A5A78">
        <w:rPr>
          <w:rFonts w:cs="Arial"/>
          <w:sz w:val="22"/>
          <w:szCs w:val="22"/>
        </w:rPr>
        <w:t xml:space="preserve"> that they are required to remit the levy for the 100% share of the policy.  Therefore, it is critical for Lloyd’s to be able to identify when a risk has been written on a co-insurance basis and whether in a lead or following capacity.</w:t>
      </w:r>
      <w:r>
        <w:rPr>
          <w:rFonts w:cs="Arial"/>
          <w:sz w:val="22"/>
          <w:szCs w:val="22"/>
        </w:rPr>
        <w:t xml:space="preserve"> </w:t>
      </w:r>
    </w:p>
    <w:p w:rsidR="00FD6D8A" w:rsidRDefault="00FD6D8A" w:rsidP="00FD6D8A">
      <w:pPr>
        <w:rPr>
          <w:rFonts w:cs="Arial"/>
          <w:sz w:val="22"/>
          <w:szCs w:val="22"/>
        </w:rPr>
      </w:pPr>
      <w:r>
        <w:rPr>
          <w:rFonts w:cs="Arial"/>
          <w:sz w:val="22"/>
          <w:szCs w:val="22"/>
        </w:rPr>
        <w:t xml:space="preserve">Where syndicates or coverholders are following a local company market lead insurer, that insurer will be responsible for collecting or paying the full levy remittance in respect of the policy. If the coverholder has confirmation that the lead is not taking responsibility for paying the full levy, the coverholder will need to record this. This will allow Lloyd’s to identify these scenarios and calculate the levy accordingly.  </w:t>
      </w:r>
    </w:p>
    <w:p w:rsidR="00FD6D8A" w:rsidRDefault="00FD6D8A" w:rsidP="00FD6D8A">
      <w:pPr>
        <w:rPr>
          <w:rFonts w:cs="Arial"/>
          <w:sz w:val="22"/>
          <w:szCs w:val="22"/>
        </w:rPr>
      </w:pPr>
      <w:r>
        <w:rPr>
          <w:rFonts w:cs="Arial"/>
          <w:sz w:val="22"/>
          <w:szCs w:val="22"/>
        </w:rPr>
        <w:t>In the scenario of two or more Lloyd’s binders insuring a risk together, they would all be required to report their portion of the risk on their bordereaux as normal. The levy to be paid to the IA will be attributed to both the lead and following Lloyd’s market in accordance with their participation on the levy.</w:t>
      </w:r>
    </w:p>
    <w:p w:rsidR="00FD6D8A" w:rsidRPr="00B55064" w:rsidRDefault="00FD6D8A" w:rsidP="00FD6D8A">
      <w:pPr>
        <w:tabs>
          <w:tab w:val="clear" w:pos="9582"/>
        </w:tabs>
        <w:spacing w:after="0" w:line="240" w:lineRule="auto"/>
        <w:rPr>
          <w:rFonts w:cs="Arial"/>
          <w:sz w:val="22"/>
          <w:szCs w:val="22"/>
        </w:rPr>
      </w:pPr>
      <w:r w:rsidRPr="00B55064">
        <w:rPr>
          <w:rFonts w:cs="Arial"/>
          <w:sz w:val="22"/>
          <w:szCs w:val="22"/>
        </w:rPr>
        <w:t xml:space="preserve">The column must be populated with one of the following options: </w:t>
      </w:r>
    </w:p>
    <w:p w:rsidR="00FD6D8A" w:rsidRPr="00B55064" w:rsidRDefault="00FD6D8A" w:rsidP="00FD6D8A">
      <w:pPr>
        <w:tabs>
          <w:tab w:val="clear" w:pos="9582"/>
        </w:tabs>
        <w:spacing w:after="0" w:line="240" w:lineRule="auto"/>
        <w:rPr>
          <w:rFonts w:cs="Arial"/>
          <w:sz w:val="22"/>
          <w:szCs w:val="22"/>
        </w:rPr>
      </w:pPr>
      <w:r w:rsidRPr="00B55064">
        <w:rPr>
          <w:rFonts w:cs="Arial"/>
          <w:sz w:val="22"/>
          <w:szCs w:val="22"/>
        </w:rPr>
        <w:t>“L”: Lead: where Lloyds is the lead on a co-insurance arrangement.</w:t>
      </w:r>
    </w:p>
    <w:p w:rsidR="00FD6D8A" w:rsidRPr="00B55064" w:rsidRDefault="00FD6D8A" w:rsidP="00FD6D8A">
      <w:pPr>
        <w:tabs>
          <w:tab w:val="clear" w:pos="9582"/>
        </w:tabs>
        <w:spacing w:after="0" w:line="240" w:lineRule="auto"/>
        <w:rPr>
          <w:rFonts w:cs="Arial"/>
          <w:sz w:val="22"/>
          <w:szCs w:val="22"/>
        </w:rPr>
      </w:pPr>
      <w:r w:rsidRPr="00B55064">
        <w:rPr>
          <w:rFonts w:cs="Arial"/>
          <w:sz w:val="22"/>
          <w:szCs w:val="22"/>
        </w:rPr>
        <w:t>“F”: Follower: where Lloyd’s is the follower on a co-insurance arrangement</w:t>
      </w:r>
      <w:r>
        <w:rPr>
          <w:rFonts w:cs="Arial"/>
          <w:sz w:val="22"/>
          <w:szCs w:val="22"/>
        </w:rPr>
        <w:t xml:space="preserve"> and the lead has confirmed they’re paying the levy on behalf of the follower</w:t>
      </w:r>
      <w:r w:rsidRPr="00B55064">
        <w:rPr>
          <w:rFonts w:cs="Arial"/>
          <w:sz w:val="22"/>
          <w:szCs w:val="22"/>
        </w:rPr>
        <w:t>.</w:t>
      </w:r>
    </w:p>
    <w:p w:rsidR="00FD6D8A" w:rsidRPr="00B55064" w:rsidRDefault="00FD6D8A" w:rsidP="00FD6D8A">
      <w:pPr>
        <w:tabs>
          <w:tab w:val="clear" w:pos="9582"/>
        </w:tabs>
        <w:spacing w:after="0" w:line="240" w:lineRule="auto"/>
        <w:rPr>
          <w:rFonts w:cs="Arial"/>
          <w:sz w:val="22"/>
          <w:szCs w:val="22"/>
        </w:rPr>
      </w:pPr>
      <w:r w:rsidRPr="00B55064">
        <w:rPr>
          <w:rFonts w:cs="Arial"/>
          <w:sz w:val="22"/>
          <w:szCs w:val="22"/>
        </w:rPr>
        <w:t>“N”: N/A: where this is not a co-insurance arrangement.</w:t>
      </w:r>
    </w:p>
    <w:p w:rsidR="00FD6D8A" w:rsidRPr="00B55064" w:rsidRDefault="00FD6D8A" w:rsidP="00FD6D8A">
      <w:pPr>
        <w:tabs>
          <w:tab w:val="clear" w:pos="9582"/>
        </w:tabs>
        <w:spacing w:after="0" w:line="240" w:lineRule="auto"/>
        <w:rPr>
          <w:rFonts w:cs="Arial"/>
          <w:sz w:val="22"/>
          <w:szCs w:val="22"/>
        </w:rPr>
      </w:pPr>
      <w:r w:rsidRPr="00B55064">
        <w:rPr>
          <w:rFonts w:cs="Arial"/>
          <w:sz w:val="22"/>
          <w:szCs w:val="22"/>
        </w:rPr>
        <w:t xml:space="preserve">“X” Follower: where lead has confirmed they're not paying the levy on behalf of the follower </w:t>
      </w:r>
    </w:p>
    <w:p w:rsidR="00FD6D8A" w:rsidRDefault="00FD6D8A" w:rsidP="00FD6D8A">
      <w:pPr>
        <w:rPr>
          <w:rFonts w:cs="Arial"/>
          <w:sz w:val="22"/>
          <w:szCs w:val="22"/>
        </w:rPr>
      </w:pPr>
    </w:p>
    <w:p w:rsidR="00FD6D8A" w:rsidRPr="005A5A78" w:rsidRDefault="00FD6D8A" w:rsidP="00FD6D8A">
      <w:pPr>
        <w:pStyle w:val="Heading3"/>
        <w:numPr>
          <w:ilvl w:val="2"/>
          <w:numId w:val="8"/>
        </w:numPr>
        <w:tabs>
          <w:tab w:val="left" w:pos="567"/>
        </w:tabs>
        <w:spacing w:line="280" w:lineRule="atLeast"/>
      </w:pPr>
      <w:bookmarkStart w:id="24" w:name="_Toc495477640"/>
      <w:bookmarkStart w:id="25" w:name="_Toc3881737"/>
      <w:r w:rsidRPr="005A5A78">
        <w:t>Total Gross Written Premium</w:t>
      </w:r>
      <w:bookmarkEnd w:id="24"/>
      <w:bookmarkEnd w:id="25"/>
      <w:r w:rsidRPr="005A5A78">
        <w:t xml:space="preserve"> </w:t>
      </w:r>
    </w:p>
    <w:p w:rsidR="00FD6D8A" w:rsidRDefault="00FD6D8A" w:rsidP="00FD6D8A">
      <w:pPr>
        <w:rPr>
          <w:rFonts w:cs="Arial"/>
          <w:sz w:val="22"/>
          <w:szCs w:val="22"/>
        </w:rPr>
      </w:pPr>
    </w:p>
    <w:p w:rsidR="00FD6D8A" w:rsidRDefault="00FD6D8A" w:rsidP="00FD6D8A">
      <w:pPr>
        <w:rPr>
          <w:rFonts w:cs="Arial"/>
          <w:sz w:val="22"/>
          <w:szCs w:val="22"/>
        </w:rPr>
      </w:pPr>
      <w:r w:rsidRPr="005A5A78">
        <w:rPr>
          <w:rFonts w:cs="Arial"/>
          <w:sz w:val="22"/>
          <w:szCs w:val="22"/>
        </w:rPr>
        <w:t xml:space="preserve">This is the total amount of the gross written premium charged for the risk to the insured both in relation to </w:t>
      </w:r>
      <w:r>
        <w:rPr>
          <w:rFonts w:cs="Arial"/>
          <w:sz w:val="22"/>
          <w:szCs w:val="22"/>
        </w:rPr>
        <w:t xml:space="preserve">the </w:t>
      </w:r>
      <w:r w:rsidRPr="005A5A78">
        <w:rPr>
          <w:rFonts w:cs="Arial"/>
          <w:sz w:val="22"/>
          <w:szCs w:val="22"/>
        </w:rPr>
        <w:t>Lloyd’s</w:t>
      </w:r>
      <w:r>
        <w:rPr>
          <w:rFonts w:cs="Arial"/>
          <w:sz w:val="22"/>
          <w:szCs w:val="22"/>
        </w:rPr>
        <w:t xml:space="preserve"> portion</w:t>
      </w:r>
      <w:r w:rsidRPr="005A5A78">
        <w:rPr>
          <w:rFonts w:cs="Arial"/>
          <w:sz w:val="22"/>
          <w:szCs w:val="22"/>
        </w:rPr>
        <w:t xml:space="preserve"> and </w:t>
      </w:r>
      <w:r>
        <w:rPr>
          <w:rFonts w:cs="Arial"/>
          <w:sz w:val="22"/>
          <w:szCs w:val="22"/>
        </w:rPr>
        <w:t xml:space="preserve">any </w:t>
      </w:r>
      <w:r w:rsidRPr="005A5A78">
        <w:rPr>
          <w:rFonts w:cs="Arial"/>
          <w:sz w:val="22"/>
          <w:szCs w:val="22"/>
        </w:rPr>
        <w:t>other</w:t>
      </w:r>
      <w:r>
        <w:rPr>
          <w:rFonts w:cs="Arial"/>
          <w:sz w:val="22"/>
          <w:szCs w:val="22"/>
        </w:rPr>
        <w:t xml:space="preserve"> company market</w:t>
      </w:r>
      <w:r w:rsidRPr="005A5A78">
        <w:rPr>
          <w:rFonts w:cs="Arial"/>
          <w:sz w:val="22"/>
          <w:szCs w:val="22"/>
        </w:rPr>
        <w:t xml:space="preserve"> co-insurance participants.</w:t>
      </w:r>
      <w:r>
        <w:rPr>
          <w:rFonts w:cs="Arial"/>
          <w:sz w:val="22"/>
          <w:szCs w:val="22"/>
        </w:rPr>
        <w:t xml:space="preserve"> The original GWP column (column W) should only include the amount relevant to Lloyd’s proportion of the risk whereas the ‘Total Gross Written Premium’ column should be used solely in cases where the risk is a mixture of Lloyd’s and company market capacity, and therefore needs to show the total premium of the entire risk.</w:t>
      </w:r>
    </w:p>
    <w:p w:rsidR="00FD6D8A" w:rsidRPr="005A5A78" w:rsidRDefault="00FD6D8A" w:rsidP="00FD6D8A">
      <w:pPr>
        <w:rPr>
          <w:rFonts w:cs="Arial"/>
          <w:sz w:val="22"/>
          <w:szCs w:val="22"/>
        </w:rPr>
      </w:pPr>
    </w:p>
    <w:p w:rsidR="00FD6D8A" w:rsidRPr="005A5A78" w:rsidRDefault="00FD6D8A" w:rsidP="00FD6D8A">
      <w:pPr>
        <w:pStyle w:val="Heading3"/>
        <w:numPr>
          <w:ilvl w:val="2"/>
          <w:numId w:val="8"/>
        </w:numPr>
        <w:tabs>
          <w:tab w:val="left" w:pos="567"/>
        </w:tabs>
        <w:spacing w:line="280" w:lineRule="atLeast"/>
      </w:pPr>
      <w:bookmarkStart w:id="26" w:name="_Toc495477641"/>
      <w:bookmarkStart w:id="27" w:name="_Toc3881738"/>
      <w:r w:rsidRPr="005A5A78">
        <w:t>Levy Amount</w:t>
      </w:r>
      <w:bookmarkEnd w:id="26"/>
      <w:bookmarkEnd w:id="27"/>
    </w:p>
    <w:p w:rsidR="00FD6D8A" w:rsidRDefault="00FD6D8A" w:rsidP="00FD6D8A">
      <w:pPr>
        <w:rPr>
          <w:rFonts w:cs="Arial"/>
          <w:sz w:val="22"/>
          <w:szCs w:val="22"/>
        </w:rPr>
      </w:pPr>
    </w:p>
    <w:p w:rsidR="00FD6D8A" w:rsidRPr="005A5A78" w:rsidRDefault="00FD6D8A" w:rsidP="00FD6D8A">
      <w:pPr>
        <w:rPr>
          <w:rFonts w:cs="Arial"/>
          <w:sz w:val="22"/>
          <w:szCs w:val="22"/>
        </w:rPr>
      </w:pPr>
      <w:r w:rsidRPr="005A5A78">
        <w:rPr>
          <w:rFonts w:cs="Arial"/>
          <w:sz w:val="22"/>
          <w:szCs w:val="22"/>
        </w:rPr>
        <w:t>This relates to the levy amount that is due on the risk and is to be paid by Lloyd’s to the IA.</w:t>
      </w:r>
    </w:p>
    <w:p w:rsidR="00FD6D8A" w:rsidRPr="005A5A78" w:rsidRDefault="00FD6D8A" w:rsidP="00FD6D8A">
      <w:pPr>
        <w:rPr>
          <w:rFonts w:cs="Arial"/>
          <w:sz w:val="22"/>
          <w:szCs w:val="22"/>
        </w:rPr>
      </w:pPr>
      <w:r w:rsidRPr="005A5A78">
        <w:rPr>
          <w:rFonts w:cs="Arial"/>
          <w:sz w:val="22"/>
          <w:szCs w:val="22"/>
        </w:rPr>
        <w:t>Where Lloyd’s is the lead co-insurer on a risk</w:t>
      </w:r>
      <w:r>
        <w:rPr>
          <w:rFonts w:cs="Arial"/>
          <w:sz w:val="22"/>
          <w:szCs w:val="22"/>
        </w:rPr>
        <w:t xml:space="preserve"> written by Lloyd’s syndicates and company market insurers</w:t>
      </w:r>
      <w:r w:rsidRPr="005A5A78">
        <w:rPr>
          <w:rFonts w:cs="Arial"/>
          <w:sz w:val="22"/>
          <w:szCs w:val="22"/>
        </w:rPr>
        <w:t xml:space="preserve"> then the levy amount should be calculated using the appropriate rate from the table shown in section 3 above and applied to the Total Gross Written Premium.</w:t>
      </w:r>
    </w:p>
    <w:p w:rsidR="00FD6D8A" w:rsidRDefault="00FD6D8A" w:rsidP="00FD6D8A">
      <w:pPr>
        <w:rPr>
          <w:rFonts w:cs="Arial"/>
          <w:sz w:val="22"/>
          <w:szCs w:val="22"/>
        </w:rPr>
      </w:pPr>
      <w:r w:rsidRPr="005A5A78">
        <w:rPr>
          <w:rFonts w:cs="Arial"/>
          <w:sz w:val="22"/>
          <w:szCs w:val="22"/>
        </w:rPr>
        <w:t>Where Lloyd’s is a following market on a co-insurance risk, then there is no need to provide the levy amount as it will be the responsibility of the lead co-insurer to pay the 100% share.</w:t>
      </w:r>
    </w:p>
    <w:p w:rsidR="00FD6D8A" w:rsidRDefault="00FD6D8A" w:rsidP="00FD6D8A">
      <w:pPr>
        <w:rPr>
          <w:rFonts w:cs="Arial"/>
          <w:sz w:val="22"/>
          <w:szCs w:val="22"/>
        </w:rPr>
      </w:pPr>
      <w:r w:rsidRPr="005A5A78">
        <w:rPr>
          <w:rFonts w:cs="Arial"/>
          <w:sz w:val="22"/>
          <w:szCs w:val="22"/>
        </w:rPr>
        <w:t>Where the risk written is not</w:t>
      </w:r>
      <w:r>
        <w:rPr>
          <w:rFonts w:cs="Arial"/>
          <w:sz w:val="22"/>
          <w:szCs w:val="22"/>
        </w:rPr>
        <w:t xml:space="preserve"> on</w:t>
      </w:r>
      <w:r w:rsidRPr="005A5A78">
        <w:rPr>
          <w:rFonts w:cs="Arial"/>
          <w:sz w:val="22"/>
          <w:szCs w:val="22"/>
        </w:rPr>
        <w:t xml:space="preserve"> a co-insurance basis</w:t>
      </w:r>
      <w:r>
        <w:rPr>
          <w:rFonts w:cs="Arial"/>
          <w:sz w:val="22"/>
          <w:szCs w:val="22"/>
        </w:rPr>
        <w:t>, and solely written at Lloyd’s</w:t>
      </w:r>
      <w:r w:rsidRPr="005A5A78">
        <w:rPr>
          <w:rFonts w:cs="Arial"/>
          <w:sz w:val="22"/>
          <w:szCs w:val="22"/>
        </w:rPr>
        <w:t xml:space="preserve">, then the levy amount should be calculated using the appropriate rate from the table shown in section 3 </w:t>
      </w:r>
      <w:r w:rsidRPr="005A5A78">
        <w:rPr>
          <w:rFonts w:cs="Arial"/>
          <w:sz w:val="22"/>
          <w:szCs w:val="22"/>
        </w:rPr>
        <w:lastRenderedPageBreak/>
        <w:t>above and applied to the Gross Written Premium</w:t>
      </w:r>
      <w:r>
        <w:rPr>
          <w:rFonts w:cs="Arial"/>
          <w:sz w:val="22"/>
          <w:szCs w:val="22"/>
        </w:rPr>
        <w:t xml:space="preserve"> (column W) and the Total Gross Written Premium field should be left empty.</w:t>
      </w:r>
    </w:p>
    <w:p w:rsidR="00FD6D8A" w:rsidRDefault="00FD6D8A" w:rsidP="00FD6D8A">
      <w:pPr>
        <w:rPr>
          <w:rFonts w:cs="Arial"/>
          <w:sz w:val="22"/>
          <w:szCs w:val="22"/>
        </w:rPr>
      </w:pPr>
    </w:p>
    <w:p w:rsidR="00FD6D8A" w:rsidRPr="005A5A78" w:rsidRDefault="00FD6D8A" w:rsidP="00FD6D8A">
      <w:pPr>
        <w:pStyle w:val="Heading2"/>
        <w:numPr>
          <w:ilvl w:val="1"/>
          <w:numId w:val="8"/>
        </w:numPr>
        <w:tabs>
          <w:tab w:val="clear" w:pos="9582"/>
          <w:tab w:val="right" w:pos="426"/>
        </w:tabs>
      </w:pPr>
      <w:bookmarkStart w:id="28" w:name="_Toc495477642"/>
      <w:bookmarkStart w:id="29" w:name="_Toc3881739"/>
      <w:r w:rsidRPr="005A5A78">
        <w:t>Billing of Levy</w:t>
      </w:r>
      <w:bookmarkEnd w:id="28"/>
      <w:bookmarkEnd w:id="29"/>
    </w:p>
    <w:p w:rsidR="00FD6D8A" w:rsidRPr="007E20E0" w:rsidRDefault="00FD6D8A" w:rsidP="00FD6D8A">
      <w:pPr>
        <w:rPr>
          <w:rFonts w:cs="Arial"/>
          <w:szCs w:val="22"/>
        </w:rPr>
      </w:pPr>
    </w:p>
    <w:p w:rsidR="00FD6D8A" w:rsidRDefault="00FD6D8A" w:rsidP="00FD6D8A">
      <w:pPr>
        <w:jc w:val="both"/>
        <w:rPr>
          <w:rFonts w:cs="Arial"/>
          <w:sz w:val="22"/>
          <w:szCs w:val="22"/>
        </w:rPr>
      </w:pPr>
      <w:r>
        <w:rPr>
          <w:rFonts w:cs="Arial"/>
          <w:sz w:val="22"/>
          <w:szCs w:val="22"/>
        </w:rPr>
        <w:t>Service companies and coverholders</w:t>
      </w:r>
      <w:r w:rsidRPr="005A5A78">
        <w:rPr>
          <w:rFonts w:cs="Arial"/>
          <w:sz w:val="22"/>
          <w:szCs w:val="22"/>
        </w:rPr>
        <w:t xml:space="preserve"> are required to either set out the levy in billing documents, showing the levy proportion of the premium, or at least once a year send to policyholders the following statement: </w:t>
      </w:r>
    </w:p>
    <w:p w:rsidR="00FD6D8A" w:rsidRPr="005A5A78" w:rsidRDefault="00FD6D8A" w:rsidP="00FD6D8A">
      <w:pPr>
        <w:jc w:val="both"/>
        <w:rPr>
          <w:rFonts w:cs="Arial"/>
          <w:sz w:val="22"/>
          <w:szCs w:val="22"/>
        </w:rPr>
      </w:pPr>
      <w:r w:rsidRPr="005A5A78">
        <w:rPr>
          <w:rFonts w:cs="Arial"/>
          <w:sz w:val="22"/>
          <w:szCs w:val="22"/>
        </w:rPr>
        <w:t>‘Levy collected by the Insurance Authority has been imposed on this policy at the applicable rate. For further information, please visit &lt;coverholder</w:t>
      </w:r>
      <w:r>
        <w:rPr>
          <w:rFonts w:cs="Arial"/>
          <w:sz w:val="22"/>
          <w:szCs w:val="22"/>
        </w:rPr>
        <w:t xml:space="preserve"> / service company</w:t>
      </w:r>
      <w:r w:rsidRPr="005A5A78">
        <w:rPr>
          <w:rFonts w:cs="Arial"/>
          <w:sz w:val="22"/>
          <w:szCs w:val="22"/>
        </w:rPr>
        <w:t xml:space="preserve"> website&gt; or contact: &lt;coverholder</w:t>
      </w:r>
      <w:r>
        <w:rPr>
          <w:rFonts w:cs="Arial"/>
          <w:sz w:val="22"/>
          <w:szCs w:val="22"/>
        </w:rPr>
        <w:t xml:space="preserve"> / service company</w:t>
      </w:r>
      <w:r w:rsidRPr="005A5A78">
        <w:rPr>
          <w:rFonts w:cs="Arial"/>
          <w:sz w:val="22"/>
          <w:szCs w:val="22"/>
        </w:rPr>
        <w:t xml:space="preserve"> phone number&gt;.</w:t>
      </w:r>
    </w:p>
    <w:p w:rsidR="00FD6D8A" w:rsidRDefault="00FD6D8A" w:rsidP="00FD6D8A">
      <w:pPr>
        <w:jc w:val="both"/>
        <w:rPr>
          <w:rFonts w:cs="Arial"/>
          <w:sz w:val="22"/>
          <w:szCs w:val="22"/>
        </w:rPr>
      </w:pPr>
      <w:r>
        <w:rPr>
          <w:rFonts w:cs="Arial"/>
          <w:sz w:val="22"/>
          <w:szCs w:val="22"/>
        </w:rPr>
        <w:t>Please note, the above statement is a suggested wording and can be updated to reflect a particular Coverholder/service company’s circumstances.</w:t>
      </w:r>
    </w:p>
    <w:p w:rsidR="00FD6D8A" w:rsidRDefault="00FD6D8A" w:rsidP="00FD6D8A">
      <w:pPr>
        <w:jc w:val="both"/>
        <w:rPr>
          <w:rFonts w:cs="Arial"/>
          <w:sz w:val="22"/>
          <w:szCs w:val="22"/>
        </w:rPr>
      </w:pPr>
      <w:r w:rsidRPr="005A5A78">
        <w:rPr>
          <w:rFonts w:cs="Arial"/>
          <w:sz w:val="22"/>
          <w:szCs w:val="22"/>
        </w:rPr>
        <w:t>This can be done via any means of communications; e.g. premium collection notices, email or SMS.</w:t>
      </w:r>
    </w:p>
    <w:p w:rsidR="00FD6D8A" w:rsidRPr="005A5A78" w:rsidRDefault="00FD6D8A" w:rsidP="00FD6D8A">
      <w:pPr>
        <w:jc w:val="both"/>
        <w:rPr>
          <w:rFonts w:cs="Arial"/>
          <w:sz w:val="22"/>
          <w:szCs w:val="22"/>
        </w:rPr>
      </w:pPr>
    </w:p>
    <w:p w:rsidR="00FD6D8A" w:rsidRPr="005A5A78" w:rsidRDefault="00FD6D8A" w:rsidP="00FD6D8A">
      <w:pPr>
        <w:pStyle w:val="Heading2"/>
        <w:numPr>
          <w:ilvl w:val="1"/>
          <w:numId w:val="8"/>
        </w:numPr>
        <w:tabs>
          <w:tab w:val="clear" w:pos="9582"/>
          <w:tab w:val="right" w:pos="426"/>
        </w:tabs>
      </w:pPr>
      <w:bookmarkStart w:id="30" w:name="_Toc495477643"/>
      <w:bookmarkStart w:id="31" w:name="_Toc3881740"/>
      <w:r w:rsidRPr="005A5A78">
        <w:t>Proof of Levy Payment</w:t>
      </w:r>
      <w:bookmarkEnd w:id="30"/>
      <w:bookmarkEnd w:id="31"/>
    </w:p>
    <w:p w:rsidR="00FD6D8A" w:rsidRPr="007E20E0" w:rsidRDefault="00FD6D8A" w:rsidP="00FD6D8A">
      <w:pPr>
        <w:rPr>
          <w:rFonts w:cs="Arial"/>
          <w:szCs w:val="22"/>
        </w:rPr>
      </w:pPr>
    </w:p>
    <w:p w:rsidR="00FD6D8A" w:rsidRPr="005A5A78" w:rsidRDefault="00FD6D8A" w:rsidP="00FD6D8A">
      <w:pPr>
        <w:jc w:val="both"/>
        <w:rPr>
          <w:rFonts w:cs="Arial"/>
          <w:sz w:val="22"/>
          <w:szCs w:val="22"/>
        </w:rPr>
      </w:pPr>
      <w:r w:rsidRPr="005A5A78">
        <w:rPr>
          <w:rFonts w:cs="Arial"/>
          <w:sz w:val="22"/>
          <w:szCs w:val="22"/>
        </w:rPr>
        <w:t xml:space="preserve">Insurers are required to produce written proof of the levy payment to policyholders upon request. This is because it is the policyholder’s legal responsibility to pay the levy, whilst in practice insurers are the entities collecting and paying over the levy on behalf of policyholders. As such, the following general statement should either be included on anniversary statements sent out to policyholders </w:t>
      </w:r>
      <w:r w:rsidRPr="005A5A78">
        <w:rPr>
          <w:rFonts w:cs="Arial"/>
          <w:sz w:val="22"/>
          <w:szCs w:val="22"/>
          <w:u w:val="single"/>
        </w:rPr>
        <w:t>or</w:t>
      </w:r>
      <w:r w:rsidRPr="005A5A78">
        <w:rPr>
          <w:rFonts w:cs="Arial"/>
          <w:sz w:val="22"/>
          <w:szCs w:val="22"/>
        </w:rPr>
        <w:t xml:space="preserve"> provided to them upon request:</w:t>
      </w:r>
    </w:p>
    <w:p w:rsidR="00FD6D8A" w:rsidRPr="005A5A78" w:rsidRDefault="00FD6D8A" w:rsidP="00FD6D8A">
      <w:pPr>
        <w:jc w:val="both"/>
        <w:rPr>
          <w:rFonts w:cs="Arial"/>
          <w:sz w:val="22"/>
          <w:szCs w:val="22"/>
        </w:rPr>
      </w:pPr>
      <w:r w:rsidRPr="005A5A78">
        <w:rPr>
          <w:rFonts w:cs="Arial"/>
          <w:sz w:val="22"/>
          <w:szCs w:val="22"/>
        </w:rPr>
        <w:t>‘Levy collected by the Insurance Authority has been imposed on this policy at the applicable rate and will be remitted in accordance with the prescribed arrangements. For further information, please visit &lt;coverholder</w:t>
      </w:r>
      <w:r>
        <w:rPr>
          <w:rFonts w:cs="Arial"/>
          <w:sz w:val="22"/>
          <w:szCs w:val="22"/>
        </w:rPr>
        <w:t xml:space="preserve"> / service company</w:t>
      </w:r>
      <w:r w:rsidRPr="005A5A78">
        <w:rPr>
          <w:rFonts w:cs="Arial"/>
          <w:sz w:val="22"/>
          <w:szCs w:val="22"/>
        </w:rPr>
        <w:t xml:space="preserve"> website&gt; or contact: &lt;coverholder </w:t>
      </w:r>
      <w:r>
        <w:rPr>
          <w:rFonts w:cs="Arial"/>
          <w:sz w:val="22"/>
          <w:szCs w:val="22"/>
        </w:rPr>
        <w:t xml:space="preserve">/ service company </w:t>
      </w:r>
      <w:r w:rsidRPr="005A5A78">
        <w:rPr>
          <w:rFonts w:cs="Arial"/>
          <w:sz w:val="22"/>
          <w:szCs w:val="22"/>
        </w:rPr>
        <w:t>phone number&gt;.</w:t>
      </w:r>
    </w:p>
    <w:p w:rsidR="00FD6D8A" w:rsidRPr="007E20E0" w:rsidRDefault="00FD6D8A" w:rsidP="00FD6D8A">
      <w:pPr>
        <w:jc w:val="both"/>
        <w:rPr>
          <w:rFonts w:cs="Arial"/>
          <w:szCs w:val="22"/>
          <w:u w:val="single"/>
        </w:rPr>
      </w:pPr>
    </w:p>
    <w:p w:rsidR="00FD6D8A" w:rsidRDefault="00FD6D8A" w:rsidP="00FD6D8A">
      <w:pPr>
        <w:pStyle w:val="Heading1"/>
        <w:numPr>
          <w:ilvl w:val="0"/>
          <w:numId w:val="8"/>
        </w:numPr>
        <w:tabs>
          <w:tab w:val="clear" w:pos="9582"/>
          <w:tab w:val="right" w:pos="426"/>
        </w:tabs>
      </w:pPr>
      <w:bookmarkStart w:id="32" w:name="_Toc495477644"/>
      <w:bookmarkStart w:id="33" w:name="_Toc3881741"/>
      <w:r>
        <w:t>Frequently Asked Questions</w:t>
      </w:r>
      <w:bookmarkEnd w:id="32"/>
      <w:bookmarkEnd w:id="33"/>
    </w:p>
    <w:p w:rsidR="00FD6D8A" w:rsidRPr="00E642DE" w:rsidRDefault="00FD6D8A" w:rsidP="00FD6D8A">
      <w:pPr>
        <w:pStyle w:val="ListParagraph"/>
        <w:numPr>
          <w:ilvl w:val="0"/>
          <w:numId w:val="7"/>
        </w:numPr>
        <w:tabs>
          <w:tab w:val="clear" w:pos="9582"/>
        </w:tabs>
        <w:spacing w:line="240" w:lineRule="auto"/>
        <w:ind w:left="360"/>
        <w:jc w:val="both"/>
        <w:rPr>
          <w:rFonts w:cs="Arial"/>
          <w:b/>
          <w:szCs w:val="22"/>
        </w:rPr>
      </w:pPr>
      <w:r w:rsidRPr="00E642DE">
        <w:rPr>
          <w:rFonts w:cs="Arial"/>
          <w:b/>
          <w:szCs w:val="22"/>
        </w:rPr>
        <w:t>I have noticed that the ‘Note on Collection of Levy on Insurance Premium’ refers to a cap of the levy to be paid, how does this apply?</w:t>
      </w:r>
    </w:p>
    <w:p w:rsidR="00FD6D8A" w:rsidRPr="00E642DE" w:rsidRDefault="00FD6D8A" w:rsidP="00FD6D8A">
      <w:pPr>
        <w:jc w:val="both"/>
        <w:rPr>
          <w:rFonts w:cs="Arial"/>
          <w:sz w:val="22"/>
          <w:szCs w:val="22"/>
        </w:rPr>
      </w:pPr>
    </w:p>
    <w:p w:rsidR="00FD6D8A" w:rsidRPr="00E642DE" w:rsidRDefault="00FD6D8A" w:rsidP="00FD6D8A">
      <w:pPr>
        <w:jc w:val="both"/>
        <w:rPr>
          <w:rFonts w:cs="Arial"/>
          <w:sz w:val="22"/>
          <w:szCs w:val="22"/>
        </w:rPr>
      </w:pPr>
      <w:r w:rsidRPr="00E642DE">
        <w:rPr>
          <w:rFonts w:cs="Arial"/>
          <w:sz w:val="22"/>
          <w:szCs w:val="22"/>
        </w:rPr>
        <w:t>Whilst Lloyd’s is reporting using the Alternative Remittance Approach, the levy amount due will be calculated using the rates included in the table above without the application of a cap.</w:t>
      </w:r>
    </w:p>
    <w:p w:rsidR="00FD6D8A" w:rsidRPr="00E642DE" w:rsidRDefault="00FD6D8A" w:rsidP="00FD6D8A">
      <w:pPr>
        <w:jc w:val="both"/>
        <w:rPr>
          <w:rFonts w:cs="Arial"/>
          <w:sz w:val="22"/>
          <w:szCs w:val="22"/>
        </w:rPr>
      </w:pPr>
    </w:p>
    <w:p w:rsidR="00FD6D8A" w:rsidRPr="00E642DE" w:rsidRDefault="00FD6D8A" w:rsidP="00FD6D8A">
      <w:pPr>
        <w:pStyle w:val="ListParagraph"/>
        <w:numPr>
          <w:ilvl w:val="0"/>
          <w:numId w:val="7"/>
        </w:numPr>
        <w:tabs>
          <w:tab w:val="clear" w:pos="9582"/>
        </w:tabs>
        <w:spacing w:line="240" w:lineRule="auto"/>
        <w:ind w:left="360"/>
        <w:jc w:val="both"/>
        <w:rPr>
          <w:rFonts w:cs="Arial"/>
          <w:b/>
          <w:szCs w:val="22"/>
        </w:rPr>
      </w:pPr>
      <w:r w:rsidRPr="00E642DE">
        <w:rPr>
          <w:rFonts w:cs="Arial"/>
          <w:b/>
          <w:szCs w:val="22"/>
        </w:rPr>
        <w:t>What happens when a return premium (RP) is reported?</w:t>
      </w:r>
    </w:p>
    <w:p w:rsidR="00FD6D8A" w:rsidRPr="00E642DE" w:rsidRDefault="00FD6D8A" w:rsidP="00FD6D8A">
      <w:pPr>
        <w:jc w:val="both"/>
        <w:rPr>
          <w:rFonts w:cs="Arial"/>
          <w:sz w:val="22"/>
          <w:szCs w:val="22"/>
        </w:rPr>
      </w:pPr>
    </w:p>
    <w:p w:rsidR="00FD6D8A" w:rsidRPr="00E642DE" w:rsidRDefault="00FD6D8A" w:rsidP="00FD6D8A">
      <w:pPr>
        <w:jc w:val="both"/>
        <w:rPr>
          <w:rFonts w:cs="Arial"/>
          <w:sz w:val="22"/>
          <w:szCs w:val="22"/>
        </w:rPr>
      </w:pPr>
      <w:r w:rsidRPr="00E642DE">
        <w:rPr>
          <w:rFonts w:cs="Arial"/>
          <w:sz w:val="22"/>
          <w:szCs w:val="22"/>
        </w:rPr>
        <w:t>Levy refunds are permitted for all return premium transactions. As Lloyd’s will be paying the levy on behalf of the policyholder, then return premiums will be deducted from the next levy payment due.</w:t>
      </w:r>
    </w:p>
    <w:p w:rsidR="00FD6D8A" w:rsidRDefault="00FD6D8A" w:rsidP="00FD6D8A">
      <w:pPr>
        <w:jc w:val="both"/>
        <w:rPr>
          <w:rFonts w:cs="Arial"/>
          <w:sz w:val="22"/>
          <w:szCs w:val="22"/>
        </w:rPr>
      </w:pPr>
    </w:p>
    <w:p w:rsidR="00FD6D8A" w:rsidRDefault="00FD6D8A" w:rsidP="00FD6D8A">
      <w:pPr>
        <w:jc w:val="both"/>
        <w:rPr>
          <w:rFonts w:cs="Arial"/>
          <w:sz w:val="22"/>
          <w:szCs w:val="22"/>
        </w:rPr>
      </w:pPr>
    </w:p>
    <w:p w:rsidR="00FD6D8A" w:rsidRDefault="00FD6D8A" w:rsidP="00FD6D8A">
      <w:pPr>
        <w:jc w:val="both"/>
        <w:rPr>
          <w:rFonts w:cs="Arial"/>
          <w:sz w:val="22"/>
          <w:szCs w:val="22"/>
        </w:rPr>
      </w:pPr>
    </w:p>
    <w:p w:rsidR="00FD6D8A" w:rsidRDefault="00FD6D8A" w:rsidP="00FD6D8A">
      <w:pPr>
        <w:jc w:val="both"/>
        <w:rPr>
          <w:rFonts w:cs="Arial"/>
          <w:sz w:val="22"/>
          <w:szCs w:val="22"/>
        </w:rPr>
      </w:pPr>
    </w:p>
    <w:p w:rsidR="00FD6D8A" w:rsidRDefault="00FD6D8A" w:rsidP="00FD6D8A">
      <w:pPr>
        <w:jc w:val="both"/>
        <w:rPr>
          <w:rFonts w:cs="Arial"/>
          <w:sz w:val="22"/>
          <w:szCs w:val="22"/>
        </w:rPr>
      </w:pPr>
    </w:p>
    <w:p w:rsidR="00FD6D8A" w:rsidRPr="00E642DE" w:rsidRDefault="00FD6D8A" w:rsidP="00FD6D8A">
      <w:pPr>
        <w:jc w:val="both"/>
        <w:rPr>
          <w:rFonts w:cs="Arial"/>
          <w:sz w:val="22"/>
          <w:szCs w:val="22"/>
        </w:rPr>
      </w:pPr>
    </w:p>
    <w:p w:rsidR="00FD6D8A" w:rsidRPr="00E642DE" w:rsidRDefault="00FD6D8A" w:rsidP="00FD6D8A">
      <w:pPr>
        <w:pStyle w:val="ListParagraph"/>
        <w:numPr>
          <w:ilvl w:val="0"/>
          <w:numId w:val="7"/>
        </w:numPr>
        <w:tabs>
          <w:tab w:val="clear" w:pos="9582"/>
        </w:tabs>
        <w:spacing w:line="240" w:lineRule="auto"/>
        <w:ind w:left="360"/>
        <w:jc w:val="both"/>
        <w:rPr>
          <w:rFonts w:cs="Arial"/>
          <w:b/>
          <w:szCs w:val="22"/>
        </w:rPr>
      </w:pPr>
      <w:r w:rsidRPr="00E642DE">
        <w:rPr>
          <w:rFonts w:cs="Arial"/>
          <w:b/>
          <w:szCs w:val="22"/>
        </w:rPr>
        <w:t>Are there any audit implications for the managing agent/coverholder?</w:t>
      </w:r>
    </w:p>
    <w:p w:rsidR="00FD6D8A" w:rsidRPr="00E642DE" w:rsidRDefault="00FD6D8A" w:rsidP="00FD6D8A">
      <w:pPr>
        <w:jc w:val="both"/>
        <w:rPr>
          <w:rFonts w:cs="Arial"/>
          <w:sz w:val="22"/>
          <w:szCs w:val="22"/>
        </w:rPr>
      </w:pPr>
    </w:p>
    <w:p w:rsidR="00FD6D8A" w:rsidRPr="00E642DE" w:rsidRDefault="00FD6D8A" w:rsidP="00FD6D8A">
      <w:pPr>
        <w:jc w:val="both"/>
        <w:rPr>
          <w:rFonts w:cs="Arial"/>
          <w:sz w:val="22"/>
          <w:szCs w:val="22"/>
        </w:rPr>
      </w:pPr>
      <w:r w:rsidRPr="00E642DE">
        <w:rPr>
          <w:rFonts w:cs="Arial"/>
          <w:sz w:val="22"/>
          <w:szCs w:val="22"/>
        </w:rPr>
        <w:t>Lloyd’s anticipates that other than the annual audit sampling process</w:t>
      </w:r>
      <w:r>
        <w:rPr>
          <w:rFonts w:cs="Arial"/>
          <w:sz w:val="22"/>
          <w:szCs w:val="22"/>
        </w:rPr>
        <w:t>,</w:t>
      </w:r>
      <w:r w:rsidRPr="00E642DE">
        <w:rPr>
          <w:rFonts w:cs="Arial"/>
          <w:sz w:val="22"/>
          <w:szCs w:val="22"/>
        </w:rPr>
        <w:t xml:space="preserve"> that managing agents/coverholders/service companies are already familiar with</w:t>
      </w:r>
      <w:r>
        <w:rPr>
          <w:rFonts w:cs="Arial"/>
          <w:sz w:val="22"/>
          <w:szCs w:val="22"/>
        </w:rPr>
        <w:t>,</w:t>
      </w:r>
      <w:r w:rsidRPr="00E642DE">
        <w:rPr>
          <w:rFonts w:cs="Arial"/>
          <w:sz w:val="22"/>
          <w:szCs w:val="22"/>
        </w:rPr>
        <w:t xml:space="preserve"> that there will be no further implications.  By undertaking the collection, reporting and payment of the levy centrally, Lloyd’s is hopeful that all audit requirements can be met centrally too, however, since the first audit report is not due for submission until April 2019, Lloyd’s are </w:t>
      </w:r>
      <w:r>
        <w:rPr>
          <w:rFonts w:cs="Arial"/>
          <w:sz w:val="22"/>
          <w:szCs w:val="22"/>
        </w:rPr>
        <w:t xml:space="preserve">still in </w:t>
      </w:r>
      <w:r w:rsidRPr="00E642DE">
        <w:rPr>
          <w:rFonts w:cs="Arial"/>
          <w:sz w:val="22"/>
          <w:szCs w:val="22"/>
        </w:rPr>
        <w:t>discussions with the auditor</w:t>
      </w:r>
      <w:r>
        <w:rPr>
          <w:rFonts w:cs="Arial"/>
          <w:sz w:val="22"/>
          <w:szCs w:val="22"/>
        </w:rPr>
        <w:t xml:space="preserve">s as to what evidence they </w:t>
      </w:r>
      <w:r w:rsidRPr="00E642DE">
        <w:rPr>
          <w:rFonts w:cs="Arial"/>
          <w:sz w:val="22"/>
          <w:szCs w:val="22"/>
        </w:rPr>
        <w:t>require.</w:t>
      </w:r>
    </w:p>
    <w:p w:rsidR="00FD6D8A" w:rsidRPr="00E642DE" w:rsidRDefault="00FD6D8A" w:rsidP="00FD6D8A">
      <w:pPr>
        <w:jc w:val="both"/>
        <w:rPr>
          <w:rFonts w:cs="Arial"/>
          <w:sz w:val="22"/>
          <w:szCs w:val="22"/>
        </w:rPr>
      </w:pPr>
    </w:p>
    <w:p w:rsidR="00FD6D8A" w:rsidRPr="00E642DE" w:rsidRDefault="00FD6D8A" w:rsidP="00FD6D8A">
      <w:pPr>
        <w:pStyle w:val="ListParagraph"/>
        <w:numPr>
          <w:ilvl w:val="0"/>
          <w:numId w:val="7"/>
        </w:numPr>
        <w:tabs>
          <w:tab w:val="clear" w:pos="9582"/>
        </w:tabs>
        <w:ind w:left="360"/>
        <w:jc w:val="both"/>
        <w:rPr>
          <w:rFonts w:cs="Arial"/>
          <w:b/>
          <w:szCs w:val="22"/>
        </w:rPr>
      </w:pPr>
      <w:r w:rsidRPr="00E642DE">
        <w:rPr>
          <w:rFonts w:cs="Arial"/>
          <w:b/>
          <w:szCs w:val="22"/>
        </w:rPr>
        <w:t>How will the levy work in cases of co-insurance?</w:t>
      </w:r>
    </w:p>
    <w:p w:rsidR="00FD6D8A" w:rsidRPr="00E642DE" w:rsidRDefault="00FD6D8A" w:rsidP="00FD6D8A">
      <w:pPr>
        <w:jc w:val="both"/>
        <w:rPr>
          <w:rFonts w:cs="Arial"/>
          <w:sz w:val="22"/>
          <w:szCs w:val="22"/>
        </w:rPr>
      </w:pPr>
    </w:p>
    <w:p w:rsidR="00FD6D8A" w:rsidRPr="00E642DE" w:rsidRDefault="00FD6D8A" w:rsidP="00FD6D8A">
      <w:pPr>
        <w:jc w:val="both"/>
        <w:rPr>
          <w:rFonts w:cs="Arial"/>
          <w:color w:val="FF0000"/>
          <w:sz w:val="22"/>
          <w:szCs w:val="22"/>
        </w:rPr>
      </w:pPr>
      <w:r w:rsidRPr="00E642DE">
        <w:rPr>
          <w:rFonts w:cs="Arial"/>
          <w:sz w:val="22"/>
          <w:szCs w:val="22"/>
        </w:rPr>
        <w:t xml:space="preserve">The IA has placed the responsibility for the reporting and payment of the levy for co-insurance business on the lead insurer.  Once the lead insurer has paid the levy (100% share) to the IA and reports as such to the IA, there is no need to report on details of the collection of the levy on behalf of the other underwriters on the programme.  How the lead insurer distributes the share of the levy amongst other underwriters of the co-insurance programme is a matter for the insurer to determine.  The lead insurer may forgo collecting the levy as long as the lead insurer remits the levy (100% share) to the IA. </w:t>
      </w:r>
      <w:r>
        <w:rPr>
          <w:rFonts w:cs="Arial"/>
          <w:sz w:val="22"/>
          <w:szCs w:val="22"/>
        </w:rPr>
        <w:t xml:space="preserve">Lloyds has taken the stance that where we lead on a co-insurance, we will be responsible for the payment of the levy for the entire contract. </w:t>
      </w:r>
      <w:r w:rsidRPr="00E642DE">
        <w:rPr>
          <w:rFonts w:cs="Arial"/>
          <w:sz w:val="22"/>
          <w:szCs w:val="22"/>
        </w:rPr>
        <w:t xml:space="preserve">Where an insurer is following on </w:t>
      </w:r>
      <w:r>
        <w:rPr>
          <w:rFonts w:cs="Arial"/>
          <w:sz w:val="22"/>
          <w:szCs w:val="22"/>
        </w:rPr>
        <w:t xml:space="preserve">a </w:t>
      </w:r>
      <w:r w:rsidRPr="00E642DE">
        <w:rPr>
          <w:rFonts w:cs="Arial"/>
          <w:sz w:val="22"/>
          <w:szCs w:val="22"/>
        </w:rPr>
        <w:t>co-insurance</w:t>
      </w:r>
      <w:r>
        <w:rPr>
          <w:rFonts w:cs="Arial"/>
          <w:sz w:val="22"/>
          <w:szCs w:val="22"/>
        </w:rPr>
        <w:t>,</w:t>
      </w:r>
      <w:r w:rsidRPr="00E642DE">
        <w:rPr>
          <w:rFonts w:cs="Arial"/>
          <w:sz w:val="22"/>
          <w:szCs w:val="22"/>
        </w:rPr>
        <w:t xml:space="preserve"> confirmation must be sought </w:t>
      </w:r>
      <w:r w:rsidRPr="00251C33">
        <w:rPr>
          <w:rFonts w:cs="Arial"/>
          <w:sz w:val="22"/>
          <w:szCs w:val="22"/>
        </w:rPr>
        <w:t xml:space="preserve">that the lead </w:t>
      </w:r>
      <w:r w:rsidRPr="0039464F">
        <w:rPr>
          <w:rFonts w:cs="Arial"/>
          <w:sz w:val="22"/>
          <w:szCs w:val="22"/>
        </w:rPr>
        <w:t xml:space="preserve">is collecting and remitting the levy on behalf of all parties to the contract. Where </w:t>
      </w:r>
      <w:r>
        <w:rPr>
          <w:rFonts w:cs="Arial"/>
          <w:sz w:val="22"/>
          <w:szCs w:val="22"/>
        </w:rPr>
        <w:t xml:space="preserve">the lead has confirmed that they will not be paying the levy on behalf of the follower, this must be indicated using the correct code in CMR. </w:t>
      </w:r>
    </w:p>
    <w:p w:rsidR="00FD6D8A" w:rsidRPr="00195258" w:rsidRDefault="00FD6D8A" w:rsidP="00FD6D8A">
      <w:pPr>
        <w:rPr>
          <w:sz w:val="22"/>
          <w:szCs w:val="22"/>
        </w:rPr>
      </w:pPr>
    </w:p>
    <w:p w:rsidR="00FD6D8A" w:rsidRPr="00195258" w:rsidRDefault="00FD6D8A" w:rsidP="00FD6D8A">
      <w:pPr>
        <w:jc w:val="both"/>
        <w:rPr>
          <w:rFonts w:cs="Arial"/>
          <w:b/>
          <w:sz w:val="22"/>
          <w:szCs w:val="22"/>
        </w:rPr>
      </w:pPr>
      <w:r w:rsidRPr="00195258">
        <w:rPr>
          <w:rFonts w:cs="Arial"/>
          <w:b/>
          <w:sz w:val="22"/>
          <w:szCs w:val="22"/>
        </w:rPr>
        <w:t>5. Is an endorsement that is payable after 1 January 2018 under a master policy with an inception date that falls before 1 January 2018, subject to the levy?</w:t>
      </w:r>
    </w:p>
    <w:p w:rsidR="00FD6D8A" w:rsidRPr="00195258" w:rsidRDefault="00FD6D8A" w:rsidP="00FD6D8A">
      <w:pPr>
        <w:pStyle w:val="ListParagraph"/>
        <w:jc w:val="both"/>
        <w:rPr>
          <w:rFonts w:cs="Arial"/>
          <w:szCs w:val="22"/>
        </w:rPr>
      </w:pPr>
    </w:p>
    <w:p w:rsidR="00FD6D8A" w:rsidRPr="00195258" w:rsidRDefault="00FD6D8A" w:rsidP="00FD6D8A">
      <w:pPr>
        <w:tabs>
          <w:tab w:val="left" w:pos="6662"/>
        </w:tabs>
        <w:jc w:val="both"/>
        <w:rPr>
          <w:rFonts w:cs="Arial"/>
          <w:sz w:val="22"/>
          <w:szCs w:val="22"/>
        </w:rPr>
      </w:pPr>
      <w:r w:rsidRPr="00195258">
        <w:rPr>
          <w:rFonts w:cs="Arial"/>
          <w:sz w:val="22"/>
          <w:szCs w:val="22"/>
        </w:rPr>
        <w:t xml:space="preserve">Only unscheduled endorsements payable on or after 1 January 2018 are subject to the levy. To determine whether a premium payment is categorised as scheduled or unscheduled, the terms of the insurance contract would need to be considered. If a payment can be attributed to a particular term within the contract it would be scheduled. </w:t>
      </w:r>
    </w:p>
    <w:p w:rsidR="00FD6D8A" w:rsidRPr="00894961" w:rsidRDefault="00FD6D8A" w:rsidP="00FD6D8A"/>
    <w:p w:rsidR="00FD6D8A" w:rsidRDefault="00FD6D8A" w:rsidP="00FD6D8A">
      <w:pPr>
        <w:pStyle w:val="Heading1"/>
        <w:numPr>
          <w:ilvl w:val="0"/>
          <w:numId w:val="8"/>
        </w:numPr>
        <w:tabs>
          <w:tab w:val="clear" w:pos="9582"/>
          <w:tab w:val="right" w:pos="426"/>
        </w:tabs>
      </w:pPr>
      <w:bookmarkStart w:id="34" w:name="_Toc495477645"/>
      <w:bookmarkStart w:id="35" w:name="_Toc3881742"/>
      <w:r>
        <w:t>Further Information</w:t>
      </w:r>
      <w:bookmarkEnd w:id="34"/>
      <w:bookmarkEnd w:id="35"/>
    </w:p>
    <w:p w:rsidR="00FD6D8A" w:rsidRPr="00894961" w:rsidRDefault="00FD6D8A" w:rsidP="00FD6D8A">
      <w:pPr>
        <w:rPr>
          <w:sz w:val="22"/>
          <w:szCs w:val="22"/>
        </w:rPr>
      </w:pPr>
      <w:r w:rsidRPr="00894961">
        <w:rPr>
          <w:sz w:val="22"/>
          <w:szCs w:val="22"/>
        </w:rPr>
        <w:t>For further information, please contact:</w:t>
      </w:r>
    </w:p>
    <w:p w:rsidR="00FD6D8A" w:rsidRDefault="00FD6D8A" w:rsidP="00FD6D8A">
      <w:pPr>
        <w:rPr>
          <w:b/>
          <w:sz w:val="22"/>
          <w:szCs w:val="22"/>
        </w:rPr>
      </w:pPr>
    </w:p>
    <w:p w:rsidR="00FD6D8A" w:rsidRPr="00894961" w:rsidRDefault="00FD6D8A" w:rsidP="00FD6D8A">
      <w:pPr>
        <w:rPr>
          <w:b/>
          <w:sz w:val="22"/>
          <w:szCs w:val="22"/>
        </w:rPr>
      </w:pPr>
      <w:r w:rsidRPr="00894961">
        <w:rPr>
          <w:b/>
          <w:sz w:val="22"/>
          <w:szCs w:val="22"/>
        </w:rPr>
        <w:t>HK Coverholder Reporting</w:t>
      </w:r>
    </w:p>
    <w:p w:rsidR="00FD6D8A" w:rsidRDefault="00FD6D8A" w:rsidP="00FD6D8A">
      <w:pPr>
        <w:rPr>
          <w:sz w:val="22"/>
          <w:szCs w:val="22"/>
        </w:rPr>
      </w:pPr>
      <w:r w:rsidRPr="00894961">
        <w:rPr>
          <w:sz w:val="22"/>
          <w:szCs w:val="22"/>
        </w:rPr>
        <w:t>Email: HK</w:t>
      </w:r>
      <w:r>
        <w:rPr>
          <w:sz w:val="22"/>
          <w:szCs w:val="22"/>
        </w:rPr>
        <w:t>CoverholderReporting@lloyds.com</w:t>
      </w:r>
    </w:p>
    <w:p w:rsidR="00FD6D8A" w:rsidRPr="00894961" w:rsidRDefault="00FD6D8A" w:rsidP="00FD6D8A">
      <w:pPr>
        <w:rPr>
          <w:sz w:val="22"/>
          <w:szCs w:val="22"/>
        </w:rPr>
      </w:pPr>
      <w:r>
        <w:rPr>
          <w:sz w:val="22"/>
          <w:szCs w:val="22"/>
        </w:rPr>
        <w:t>Or</w:t>
      </w:r>
    </w:p>
    <w:p w:rsidR="00FD6D8A" w:rsidRPr="00894961" w:rsidRDefault="00FD6D8A" w:rsidP="00FD6D8A">
      <w:pPr>
        <w:jc w:val="both"/>
        <w:rPr>
          <w:rFonts w:cs="Arial"/>
          <w:b/>
          <w:sz w:val="22"/>
          <w:szCs w:val="22"/>
        </w:rPr>
      </w:pPr>
      <w:r w:rsidRPr="00894961">
        <w:rPr>
          <w:rFonts w:cs="Arial"/>
          <w:b/>
          <w:sz w:val="22"/>
          <w:szCs w:val="22"/>
        </w:rPr>
        <w:t xml:space="preserve">Thomas Haddrill </w:t>
      </w:r>
    </w:p>
    <w:p w:rsidR="00FD6D8A" w:rsidRPr="00894961" w:rsidRDefault="00FD6D8A" w:rsidP="00FD6D8A">
      <w:pPr>
        <w:jc w:val="both"/>
        <w:rPr>
          <w:rFonts w:cs="Arial"/>
          <w:sz w:val="22"/>
          <w:szCs w:val="22"/>
        </w:rPr>
      </w:pPr>
      <w:r w:rsidRPr="00894961">
        <w:rPr>
          <w:rFonts w:cs="Arial"/>
          <w:sz w:val="22"/>
          <w:szCs w:val="22"/>
        </w:rPr>
        <w:t xml:space="preserve">Lloyd's General Representative for Hong Kong SAR </w:t>
      </w:r>
    </w:p>
    <w:p w:rsidR="00FD6D8A" w:rsidRPr="00894961" w:rsidRDefault="00FD6D8A" w:rsidP="00FD6D8A">
      <w:pPr>
        <w:jc w:val="both"/>
        <w:rPr>
          <w:rFonts w:cs="Arial"/>
          <w:sz w:val="22"/>
          <w:szCs w:val="22"/>
        </w:rPr>
      </w:pPr>
      <w:r w:rsidRPr="00894961">
        <w:rPr>
          <w:rFonts w:cs="Arial"/>
          <w:sz w:val="22"/>
          <w:szCs w:val="22"/>
        </w:rPr>
        <w:t>Telephone: + 852 2918 9911</w:t>
      </w:r>
    </w:p>
    <w:p w:rsidR="00894961" w:rsidRPr="00B54304" w:rsidRDefault="00FD6D8A" w:rsidP="00CE2581">
      <w:pPr>
        <w:jc w:val="both"/>
      </w:pPr>
      <w:r w:rsidRPr="00894961">
        <w:rPr>
          <w:rFonts w:cs="Arial"/>
          <w:sz w:val="22"/>
          <w:szCs w:val="22"/>
        </w:rPr>
        <w:t>Email: Thomas.haddrill@lloyds.com</w:t>
      </w:r>
      <w:bookmarkEnd w:id="0"/>
    </w:p>
    <w:sectPr w:rsidR="00894961" w:rsidRPr="00B54304" w:rsidSect="00BF361A">
      <w:headerReference w:type="even" r:id="rId19"/>
      <w:headerReference w:type="default" r:id="rId20"/>
      <w:footerReference w:type="even" r:id="rId21"/>
      <w:pgSz w:w="11907" w:h="16840" w:code="9"/>
      <w:pgMar w:top="1474" w:right="1021" w:bottom="1361" w:left="15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13B" w:rsidRDefault="0055713B">
      <w:r>
        <w:separator/>
      </w:r>
    </w:p>
  </w:endnote>
  <w:endnote w:type="continuationSeparator" w:id="0">
    <w:p w:rsidR="0055713B" w:rsidRDefault="00557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nsa Lloyds">
    <w:altName w:val="Calibri"/>
    <w:charset w:val="00"/>
    <w:family w:val="auto"/>
    <w:pitch w:val="variable"/>
    <w:sig w:usb0="80000023" w:usb1="4000004A" w:usb2="00000000" w:usb3="00000000" w:csb0="00000001" w:csb1="00000000"/>
    <w:embedRegular r:id="rId1" w:fontKey="{18B62D1C-6E43-4013-8187-C9935880A18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A5BA42F-0B4D-4BDE-AC59-DBA89609A278}"/>
  </w:font>
  <w:font w:name="Calibri">
    <w:panose1 w:val="020F0502020204030204"/>
    <w:charset w:val="00"/>
    <w:family w:val="swiss"/>
    <w:pitch w:val="variable"/>
    <w:sig w:usb0="E0002AFF" w:usb1="C000247B" w:usb2="00000009" w:usb3="00000000" w:csb0="000001FF" w:csb1="00000000"/>
    <w:embedRegular r:id="rId3" w:fontKey="{99AF0473-EA6B-42FB-BB98-F45FCA46C1B0}"/>
    <w:embedBold r:id="rId4" w:fontKey="{C23A7101-9199-4198-B551-B8BDE181A1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745" w:rsidRDefault="00F83745">
    <w:pPr>
      <w:pStyle w:val="Footer"/>
    </w:pPr>
    <w:r>
      <w:rPr>
        <w:noProof/>
      </w:rPr>
      <mc:AlternateContent>
        <mc:Choice Requires="wps">
          <w:drawing>
            <wp:anchor distT="0" distB="0" distL="114300" distR="114300" simplePos="0" relativeHeight="251657216"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3" name="MSIPCMa4ed4cae8f9ea76f46ff29e0" descr="{&quot;HashCode&quot;:-829928686,&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83745" w:rsidRPr="00F83745" w:rsidRDefault="00F83745" w:rsidP="00F83745">
                          <w:pPr>
                            <w:spacing w:after="0"/>
                            <w:jc w:val="center"/>
                            <w:rPr>
                              <w:rFonts w:ascii="Calibri" w:hAnsi="Calibri" w:cs="Calibri"/>
                              <w:color w:val="000000"/>
                              <w:sz w:val="20"/>
                            </w:rPr>
                          </w:pPr>
                          <w:r w:rsidRPr="00F83745">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a4ed4cae8f9ea76f46ff29e0" o:spid="_x0000_s1026" type="#_x0000_t202" alt="{&quot;HashCode&quot;:-829928686,&quot;Height&quot;:842.0,&quot;Width&quot;:595.0,&quot;Placement&quot;:&quot;Footer&quot;,&quot;Index&quot;:&quot;OddAndEven&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t9GgMAADkGAAAOAAAAZHJzL2Uyb0RvYy54bWysVEtv2zAMvg/YfxB02GmpH3WcOKs7pOmy&#10;FUjXAunQs6JHbcyWPElJ3BX976NkO2u2HYZhF4kiKYr8+Iln79u6QjuuTalkjqOTECMuqWKlfMjx&#10;l7vlaIqRsUQyUinJc/zIDX5//vrV2b6Z8VgVqmJcIwgizWzf5LiwtpkFgaEFr4k5UQ2XYBRK18TC&#10;UT8ETJM9RK+rIA7DNNgrzRqtKDcGtJedEZ/7+EJwam+EMNyiKseQm/Wr9uvGrcH5GZk9aNIUJe3T&#10;IP+QRU1KCY8eQl0SS9BWl7+FqkuqlVHCnlBVB0qIknJfA1QThb9Usy5Iw30tAI5pDjCZ/xeWft7d&#10;alSyHJ9iJEkNLbpeX90urknCWUIJn4qMk0kqklSIOOOAIeOGAoJPb75tlX33iZhioRjvTrPRNM6y&#10;eJpO07e9nZcPhe2t0yQ+CXvDfcls0evH2figv60I5TWXw53OZamU5bqT+wBXkvG2D9BtN4zNJfuw&#10;4/LIcQ0sAHr2rlF//U41vSY8vL3iYngWlM+OHfvGzACkdQMw2fZCtcDyQW9A6ZreCl27HdqJwA4Y&#10;PR64xVuLKCgn4zTMkjFGFGzx5DQce/IFP2832tiPXNXICTnWkLWnFNmtjIVMwHVwcY9JtSyryvO3&#10;kmif4/QUQh5Z4EYlnQaSgBi91PHyKYviJLyIs9EynU5GyTIZj7JJOB2FUXaRpWGSJZfLZxcvSmZF&#10;yRiXq1Ly4Y9Eyd9xsP+tHbv9LzlK1aiqZK4Ol5urblFptCPwWTdAg68OaCjihVdwnI43Q3XD7qsM&#10;XM+63jjJtpu2b+RGsUfoo1aAL3TJNHRZwqMrYuwt0fDxQQnDzN7AIioFoKpewqhQ+vuf9M4fsAAr&#10;RnsYJDk237ZEc4yqKwk/NYuSBMJafwBBv9RuBq3c1gsFZUc+Ky86X1sNotCqvodZN3evgYlICm8C&#10;ToO4sHACA8xKyudzL8OMaYhdyXVDXegB5Lv2nuim55kF+D6rYdSQ2S9063zdTanmW6tE6bnogO3Q&#10;BOjdAeaTb0I/S90AfHn2Xj8n/vkPAA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BMrQt9GgMAADkGAAAOAAAAAAAAAAAA&#10;AAAAAC4CAABkcnMvZTJvRG9jLnhtbFBLAQItABQABgAIAAAAIQARcqd+3wAAAAsBAAAPAAAAAAAA&#10;AAAAAAAAAHQFAABkcnMvZG93bnJldi54bWxQSwUGAAAAAAQABADzAAAAgAYAAAAA&#10;" o:allowincell="f" filled="f" stroked="f" strokeweight=".5pt">
              <v:textbox inset=",0,,0">
                <w:txbxContent>
                  <w:p w:rsidR="00F83745" w:rsidRPr="00F83745" w:rsidRDefault="00F83745" w:rsidP="00F83745">
                    <w:pPr>
                      <w:spacing w:after="0"/>
                      <w:jc w:val="center"/>
                      <w:rPr>
                        <w:rFonts w:ascii="Calibri" w:hAnsi="Calibri" w:cs="Calibri"/>
                        <w:color w:val="000000"/>
                        <w:sz w:val="20"/>
                      </w:rPr>
                    </w:pPr>
                    <w:r w:rsidRPr="00F83745">
                      <w:rPr>
                        <w:rFonts w:ascii="Calibri" w:hAnsi="Calibri" w:cs="Calibri"/>
                        <w:color w:val="000000"/>
                        <w:sz w:val="20"/>
                      </w:rPr>
                      <w:t>Classification: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745" w:rsidRDefault="00F83745">
    <w:pPr>
      <w:pStyle w:val="Footer"/>
    </w:pPr>
    <w:r>
      <w:rPr>
        <w:noProof/>
      </w:rPr>
      <mc:AlternateContent>
        <mc:Choice Requires="wps">
          <w:drawing>
            <wp:anchor distT="0" distB="0" distL="114300" distR="114300" simplePos="0" relativeHeight="251656192"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2" name="MSIPCM24d642b49eaaf050b7f9873b"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83745" w:rsidRPr="00F83745" w:rsidRDefault="00F83745" w:rsidP="00F83745">
                          <w:pPr>
                            <w:spacing w:after="0"/>
                            <w:jc w:val="center"/>
                            <w:rPr>
                              <w:rFonts w:ascii="Calibri" w:hAnsi="Calibri" w:cs="Calibri"/>
                              <w:color w:val="000000"/>
                              <w:sz w:val="20"/>
                            </w:rPr>
                          </w:pPr>
                          <w:r w:rsidRPr="00F83745">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24d642b49eaaf050b7f9873b" o:spid="_x0000_s1027" type="#_x0000_t202" alt="{&quot;HashCode&quot;:-829928686,&quot;Height&quot;:842.0,&quot;Width&quot;:595.0,&quot;Placement&quot;:&quot;Footer&quot;,&quot;Index&quot;:&quot;Primary&quot;,&quot;Section&quot;:1,&quot;Top&quot;:0.0,&quot;Left&quot;:0.0}" style="position:absolute;margin-left:0;margin-top:805.45pt;width:595.35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vEGAMAAD0GAAAOAAAAZHJzL2Uyb0RvYy54bWysVEtv2zAMvg/YfxB02GmJH3UezuoUaYps&#10;BdI2QDr0rMhyLMyWXElpnBX976NkO226HYZhF4kiKYr8+InnF3VZoCemNJciwUHfx4gJKlMutgn+&#10;fr/ojTHShoiUFFKwBB+YxhfTjx/O99WEhTKXRcoUgiBCT/ZVgnNjqonnaZqzkui+rJgAYyZVSQwc&#10;1dZLFdlD9LLwQt8fenup0kpJyrQG7VVjxFMXP8sYNXdZpplBRYIhN+NW5daNXb3pOZlsFalyTts0&#10;yD9kURIu4NFjqCtiCNop/luoklMltcxMn8rSk1nGKXM1QDWB/66adU4q5moBcHR1hEn/v7D09mml&#10;EE8THGIkSAktullfr+Y3YZQOo3ATxYyQzB/4m1EWj0dnG4xSpikg+PzpcSfNl29E53OZsuY06Y3D&#10;OA7Hw/Hwc2tnfJub1jqOwr7fGh54avJWP4gHR/2qIJSVTHR3GpeFlIapRm4DXIuU1W2AZlspXhJ1&#10;OPFaAwWAm61f0N69l1Wr8Y8PL1nWvQnKF0uNfaUngNC6AoxMfSlroHin16C0Ha8zVdodeonADiQ7&#10;HInFaoMoKEeDoR9HA4wo2MLRGeBpw3ivtyulzVcmS2SFBCvI2vGJPC21aVw7F/uYkAteFI68hUD7&#10;BA/PIOSJBYIXwmogCYjRSg0pn+MgjPzLMO4thuNRL1pEg1488sc9P4gv46EfxdHV4sXGC6JJztOU&#10;iSUXrPsgQfR3BGy/akNt90VOUtWy4Kmtw+Zmq5sXCj0R+Kkb4MCPFqE3Xt5pOg5AqK7bXZWe7VnT&#10;GyuZelM7eh/7tpHpAdqpJMAMzdIVXXB4e0m0WREFnx+UMNDMHSxZIQFb2UoY5VL9/JPe+gMkYMVo&#10;D8MkwfpxRxTDqLgW8FvjIIrs9HEHENRb7abTil05l1B94LJyovU1RSdmSpYPMO9m9jUwEUHhTYCr&#10;E+cGTmCAeUnZbOZkmDMVMUuxrqgN3WF9Xz8QVbV0M4DirezGDZm8Y13ja28KOdsZmXFHSYtvgyZ0&#10;wB5gRrletPPUDsG3Z+f1OvWnvwAAAP//AwBQSwMEFAAGAAgAAAAhABFyp37fAAAACwEAAA8AAABk&#10;cnMvZG93bnJldi54bWxMj81OwzAQhO9IfQdrkXqjdlooTYhTIRAXJIQoqGcn3vw08TqK3TZ5e5wT&#10;HHdmNPtNuh9Nxy44uMaShGglgCEVVjdUSfj5frvbAXNekVadJZQwoYN9trhJVaLtlb7wcvAVCyXk&#10;EiWh9r5POHdFjUa5le2RglfawSgfzqHielDXUG46vhZiy41qKHyoVY8vNRbt4Wwk3H/GeclPrTl9&#10;TO/T1LTl8TUvpVzejs9PwDyO/i8MM35Ahyww5fZM2rFOQhjig7qNRAxs9qNYPALLZ+1hEwPPUv5/&#10;Q/YLAAD//wMAUEsBAi0AFAAGAAgAAAAhALaDOJL+AAAA4QEAABMAAAAAAAAAAAAAAAAAAAAAAFtD&#10;b250ZW50X1R5cGVzXS54bWxQSwECLQAUAAYACAAAACEAOP0h/9YAAACUAQAACwAAAAAAAAAAAAAA&#10;AAAvAQAAX3JlbHMvLnJlbHNQSwECLQAUAAYACAAAACEAT0IrxBgDAAA9BgAADgAAAAAAAAAAAAAA&#10;AAAuAgAAZHJzL2Uyb0RvYy54bWxQSwECLQAUAAYACAAAACEAEXKnft8AAAALAQAADwAAAAAAAAAA&#10;AAAAAAByBQAAZHJzL2Rvd25yZXYueG1sUEsFBgAAAAAEAAQA8wAAAH4GAAAAAA==&#10;" o:allowincell="f" filled="f" stroked="f" strokeweight=".5pt">
              <v:textbox inset=",0,,0">
                <w:txbxContent>
                  <w:p w:rsidR="00F83745" w:rsidRPr="00F83745" w:rsidRDefault="00F83745" w:rsidP="00F83745">
                    <w:pPr>
                      <w:spacing w:after="0"/>
                      <w:jc w:val="center"/>
                      <w:rPr>
                        <w:rFonts w:ascii="Calibri" w:hAnsi="Calibri" w:cs="Calibri"/>
                        <w:color w:val="000000"/>
                        <w:sz w:val="20"/>
                      </w:rPr>
                    </w:pPr>
                    <w:r w:rsidRPr="00F83745">
                      <w:rPr>
                        <w:rFonts w:ascii="Calibri" w:hAnsi="Calibri" w:cs="Calibri"/>
                        <w:color w:val="000000"/>
                        <w:sz w:val="20"/>
                      </w:rPr>
                      <w:t>Classification: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D8A" w:rsidRPr="00FD6D8A" w:rsidRDefault="00FD6D8A" w:rsidP="00CE2581">
    <w:pPr>
      <w:pStyle w:val="Footer"/>
      <w:rPr>
        <w:sz w:val="16"/>
      </w:rPr>
    </w:pPr>
    <w:r>
      <w:rPr>
        <w:noProof/>
        <w:sz w:val="16"/>
      </w:rPr>
      <mc:AlternateContent>
        <mc:Choice Requires="wps">
          <w:drawing>
            <wp:anchor distT="0" distB="0" distL="114300" distR="114300" simplePos="0" relativeHeight="251658752"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4" name="MSIPCM09fd4c31844c6718553c80c2"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D6D8A" w:rsidRPr="00FD6D8A" w:rsidRDefault="00FD6D8A" w:rsidP="00FD6D8A">
                          <w:pPr>
                            <w:spacing w:after="0"/>
                            <w:jc w:val="center"/>
                            <w:rPr>
                              <w:rFonts w:ascii="Calibri" w:hAnsi="Calibri" w:cs="Calibri"/>
                              <w:color w:val="000000"/>
                              <w:sz w:val="20"/>
                            </w:rPr>
                          </w:pPr>
                          <w:r w:rsidRPr="00FD6D8A">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9fd4c31844c6718553c80c2" o:spid="_x0000_s1028" type="#_x0000_t202" alt="{&quot;HashCode&quot;:-829928686,&quot;Height&quot;:842.0,&quot;Width&quot;:595.0,&quot;Placement&quot;:&quot;Footer&quot;,&quot;Index&quot;:&quot;FirstPage&quot;,&quot;Section&quot;:1,&quot;Top&quot;:0.0,&quot;Left&quot;:0.0}" style="position:absolute;margin-left:0;margin-top:805.45pt;width:595.35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lRGgMAAD8GAAAOAAAAZHJzL2Uyb0RvYy54bWysVMlu2zAQvRfoPxA89FRHi2VZcqMEiQO3&#10;AZwFcIqcaYqyhEqkQtK20iD/3iFFOUt7KIpeyOGb4XCWxzk+7Zoa7ZhUleAZDo58jBinIq/4JsPf&#10;7xajBCOlCc9JLTjL8CNT+PTk44fjfTtjoShFnTOJwAlXs32b4VLrduZ5ipasIepItIyDshCyIRqO&#10;cuPlkuzBe1N7oe/H3l7IvJWCMqUAveiV+MT6LwpG9U1RKKZRnWGITdtV2nVtVu/kmMw2krRlRV0Y&#10;5B+iaEjF4dGDqwuiCdrK6jdXTUWlUKLQR1Q0niiKijKbA2QT+O+yWZWkZTYXKI5qD2VS/88tvd7d&#10;SlTlGY4w4qSBFl2tLm/nV35a5BEdB0kU0XgaJJPJmCY+DTHKmaJQwadPD1uhv3wjqpyLnPWn2SgJ&#10;0zRM4iT+7PSs2pTaaZMoPPKd4r7KdenwSTo54Lc1oaxhfLjTmyyE0Ez2snNwyXPWOQfOqJJK35KN&#10;C8bZrYAEwE5nGTj0TrQO8Q9PL1kxvArgsyHHvlUzqNGqhSrp7lx0QPIBVwCanneFbMwO3USgB5o9&#10;HqjFOo0ogNNJ7KfRBCMKunA69ieWe97L7RZi/8pEg4yQYQlRW0aR3VJpiARMBxPzGBeLqq4tfWuO&#10;9hmOx+DyjQZu1NwgEAT4cFJPy6c0CCP/PExHiziZjqJFNBmlUz8Z+UF6nsZ+lEYXi2fjL4hmZZXn&#10;jC8rzoYvEkR/R0H3WXty20/yJlQl6io3eZjYTHbzWqIdgb+6Bhb8MIWGJF5ZeW/DsWrIbthtlp7p&#10;Wd8bI+lu3VmCh0Pf1iJ/hHZKAWWGZqmWLgxxlsSQR8L3BxBGmr6BpagF1FY4CaNSyJ9/wo09lAS0&#10;GO1hnGRYPWyJZBjVlxz+axpEkZk/9gCCfI2uB5Rvm7mA7AMblRWNra4HsZCiuYeJd2ZeAxXhFN6E&#10;cg3iXMMJFDAxKTs7szJMmpboJV+11Lgean3X3RPZOrppqOK1GAYOmb1jXW9rbnJxttWiqCwlTX37&#10;akIHzAGmlO2Fm6hmDL4+W6uXuX/yCw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DurUlRGgMAAD8GAAAOAAAAAAAAAAAA&#10;AAAAAC4CAABkcnMvZTJvRG9jLnhtbFBLAQItABQABgAIAAAAIQARcqd+3wAAAAsBAAAPAAAAAAAA&#10;AAAAAAAAAHQFAABkcnMvZG93bnJldi54bWxQSwUGAAAAAAQABADzAAAAgAYAAAAA&#10;" o:allowincell="f" filled="f" stroked="f" strokeweight=".5pt">
              <v:textbox inset=",0,,0">
                <w:txbxContent>
                  <w:p w:rsidR="00FD6D8A" w:rsidRPr="00FD6D8A" w:rsidRDefault="00FD6D8A" w:rsidP="00FD6D8A">
                    <w:pPr>
                      <w:spacing w:after="0"/>
                      <w:jc w:val="center"/>
                      <w:rPr>
                        <w:rFonts w:ascii="Calibri" w:hAnsi="Calibri" w:cs="Calibri"/>
                        <w:color w:val="000000"/>
                        <w:sz w:val="20"/>
                      </w:rPr>
                    </w:pPr>
                    <w:r w:rsidRPr="00FD6D8A">
                      <w:rPr>
                        <w:rFonts w:ascii="Calibri" w:hAnsi="Calibri" w:cs="Calibri"/>
                        <w:color w:val="000000"/>
                        <w:sz w:val="20"/>
                      </w:rPr>
                      <w:t>Classification: 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D8A" w:rsidRDefault="00FD6D8A">
    <w:pPr>
      <w:pStyle w:val="Footer"/>
      <w:jc w:val="right"/>
    </w:pPr>
    <w:r>
      <w:rPr>
        <w:noProof/>
      </w:rPr>
      <mc:AlternateContent>
        <mc:Choice Requires="wps">
          <w:drawing>
            <wp:anchor distT="0" distB="0" distL="114300" distR="114300" simplePos="0" relativeHeight="251659776"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7" name="MSIPCM37134860a5b8bc687cc6c721" descr="{&quot;HashCode&quot;:-829928686,&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D6D8A" w:rsidRPr="00FD6D8A" w:rsidRDefault="00FD6D8A" w:rsidP="00FD6D8A">
                          <w:pPr>
                            <w:spacing w:after="0"/>
                            <w:jc w:val="center"/>
                            <w:rPr>
                              <w:rFonts w:ascii="Calibri" w:hAnsi="Calibri" w:cs="Calibri"/>
                              <w:color w:val="000000"/>
                              <w:sz w:val="20"/>
                            </w:rPr>
                          </w:pPr>
                          <w:r w:rsidRPr="00FD6D8A">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37134860a5b8bc687cc6c721" o:spid="_x0000_s1029" type="#_x0000_t202" alt="{&quot;HashCode&quot;:-829928686,&quot;Height&quot;:842.0,&quot;Width&quot;:595.0,&quot;Placement&quot;:&quot;Footer&quot;,&quot;Index&quot;:&quot;OddAndEven&quot;,&quot;Section&quot;:2,&quot;Top&quot;:0.0,&quot;Left&quot;:0.0}" style="position:absolute;left:0;text-align:left;margin-left:0;margin-top:805.45pt;width:595.35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oEHgMAAEAGAAAOAAAAZHJzL2Uyb0RvYy54bWysVEtv2zAMvg/YfxB02GmpH3EcO6tbpOmy&#10;FUgfQDr0rEhybcyWPElJ3BX976NkO31sh2HYRaJIis+PPD5t6wrtuNKlFBkOjnyMuKCSleI+w99u&#10;l6MEI22IYKSSgmf4gWt8evL+3fG+mfFQFrJiXCEwIvRs32S4MKaZeZ6mBa+JPpINFyDMpaqJgae6&#10;95gie7BeV17o+7G3l4o1SlKuNXDPOyE+cfbznFNzneeaG1RlGGIz7lTu3NjTOzkms3tFmqKkfRjk&#10;H6KoSSnA6cHUOTEEbVX5m6m6pEpqmZsjKmtP5nlJucsBsgn8N9msC9JwlwsURzeHMun/Z5Ze7W4U&#10;KlmGpxgJUkOLLtcXN4vL8TQYR0nsk8km2dA4mVIa02kYYMS4plDBxw8/ttJ8+kp0sZCMd6/ZKAnT&#10;NEziJP7Yy3l5X5hemkThkd8L7kpmip4/SScH/k1FKK+5GP50KkspDVcd3Ru4EIy3vYHuumZsLtjn&#10;HRevFNeAAoBnrxr2329l03P8g+8Vzwe3wHyy6Ng3egZFWjdQJtOeyRZQPvA1MG3T21zV9oZ2IpAD&#10;zh4O2OKtQRSY00nsp9EEIwqycDr2Jw583vPvRmnzhcsaWSLDCqJ2kCK7lTYQCagOKtaZkMuyqhx+&#10;K4H2GY7HYPKVBH5UwnIgCLDRUx0uH9MgjPyzMB0tobmjaBlNRunUT0Z+kJ6lsR+l0fnyydoLollR&#10;MsbFqhR8mJEg+jsM9tPaodtNyatQtaxKZvOwsdnsFpVCOwLDugEYfLeFhiReaHmvw3FiyG64XZae&#10;7VnXG0uZdtM6hI+Hvm0ke4B2Kgllhmbphi5L8L0i2twQBfMPTNhp5hqOvJJQW9lTGBVS/fwT3+pD&#10;SUCK0R72SYb1jy1RHKPqQsDApkEU2QXkHkCol9zNwBXbeiEhexgziMqRVtdUA5krWd/ByptbbyAi&#10;goJPKNdALgy8QAArk/L53NGwahpiVmLdUGt6qPVte0dU08PNQBWv5LBxyOwN6jpd+1PI+dbIvHSQ&#10;tPXtqgkdsA9YU64X/Uq1e/Dl22k9L/6TXwAAAP//AwBQSwMEFAAGAAgAAAAhABFyp37fAAAACwEA&#10;AA8AAABkcnMvZG93bnJldi54bWxMj81OwzAQhO9IfQdrkXqjdlooTYhTIRAXJIQoqGcn3vw08TqK&#10;3TZ5e5wTHHdmNPtNuh9Nxy44uMaShGglgCEVVjdUSfj5frvbAXNekVadJZQwoYN9trhJVaLtlb7w&#10;cvAVCyXkEiWh9r5POHdFjUa5le2RglfawSgfzqHielDXUG46vhZiy41qKHyoVY8vNRbt4Wwk3H/G&#10;eclPrTl9TO/T1LTl8TUvpVzejs9PwDyO/i8MM35Ahyww5fZM2rFOQhjig7qNRAxs9qNYPALLZ+1h&#10;EwPPUv5/Q/YLAAD//wMAUEsBAi0AFAAGAAgAAAAhALaDOJL+AAAA4QEAABMAAAAAAAAAAAAAAAAA&#10;AAAAAFtDb250ZW50X1R5cGVzXS54bWxQSwECLQAUAAYACAAAACEAOP0h/9YAAACUAQAACwAAAAAA&#10;AAAAAAAAAAAvAQAAX3JlbHMvLnJlbHNQSwECLQAUAAYACAAAACEAmV2aBB4DAABABgAADgAAAAAA&#10;AAAAAAAAAAAuAgAAZHJzL2Uyb0RvYy54bWxQSwECLQAUAAYACAAAACEAEXKnft8AAAALAQAADwAA&#10;AAAAAAAAAAAAAAB4BQAAZHJzL2Rvd25yZXYueG1sUEsFBgAAAAAEAAQA8wAAAIQGAAAAAA==&#10;" o:allowincell="f" filled="f" stroked="f" strokeweight=".5pt">
              <v:textbox inset=",0,,0">
                <w:txbxContent>
                  <w:p w:rsidR="00FD6D8A" w:rsidRPr="00FD6D8A" w:rsidRDefault="00FD6D8A" w:rsidP="00FD6D8A">
                    <w:pPr>
                      <w:spacing w:after="0"/>
                      <w:jc w:val="center"/>
                      <w:rPr>
                        <w:rFonts w:ascii="Calibri" w:hAnsi="Calibri" w:cs="Calibri"/>
                        <w:color w:val="000000"/>
                        <w:sz w:val="20"/>
                      </w:rPr>
                    </w:pPr>
                    <w:r w:rsidRPr="00FD6D8A">
                      <w:rPr>
                        <w:rFonts w:ascii="Calibri" w:hAnsi="Calibri" w:cs="Calibri"/>
                        <w:color w:val="000000"/>
                        <w:sz w:val="20"/>
                      </w:rPr>
                      <w:t>Classification: Confidential</w:t>
                    </w:r>
                  </w:p>
                </w:txbxContent>
              </v:textbox>
              <w10:wrap anchorx="page" anchory="page"/>
            </v:shape>
          </w:pict>
        </mc:Fallback>
      </mc:AlternateContent>
    </w:r>
    <w:sdt>
      <w:sdtPr>
        <w:id w:val="-1368139618"/>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13B" w:rsidRDefault="0055713B">
      <w:r>
        <w:separator/>
      </w:r>
    </w:p>
  </w:footnote>
  <w:footnote w:type="continuationSeparator" w:id="0">
    <w:p w:rsidR="0055713B" w:rsidRDefault="00557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46A" w:rsidRDefault="000D54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46A" w:rsidRDefault="000D54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3828" w:type="dxa"/>
      <w:tblBorders>
        <w:bottom w:val="none" w:sz="0" w:space="0" w:color="auto"/>
        <w:insideH w:val="none" w:sz="0" w:space="0" w:color="auto"/>
      </w:tblBorders>
      <w:tblLook w:val="01E0" w:firstRow="1" w:lastRow="1" w:firstColumn="1" w:lastColumn="1" w:noHBand="0" w:noVBand="0"/>
    </w:tblPr>
    <w:tblGrid>
      <w:gridCol w:w="9724"/>
    </w:tblGrid>
    <w:tr w:rsidR="00B54304">
      <w:tc>
        <w:tcPr>
          <w:tcW w:w="9724" w:type="dxa"/>
        </w:tcPr>
        <w:p w:rsidR="00B54304" w:rsidRDefault="00B54304" w:rsidP="00E77013">
          <w:pPr>
            <w:pStyle w:val="Header"/>
            <w:spacing w:after="0" w:line="240" w:lineRule="auto"/>
            <w:jc w:val="right"/>
            <w:rPr>
              <w:b/>
              <w:sz w:val="15"/>
              <w:szCs w:val="15"/>
            </w:rPr>
          </w:pPr>
          <w:r>
            <w:rPr>
              <w:b/>
              <w:sz w:val="15"/>
              <w:szCs w:val="15"/>
            </w:rPr>
            <w:fldChar w:fldCharType="begin"/>
          </w:r>
          <w:r>
            <w:rPr>
              <w:b/>
              <w:sz w:val="15"/>
              <w:szCs w:val="15"/>
            </w:rPr>
            <w:instrText xml:space="preserve"> PAGE  \* Arabic  \* MERGEFORMAT </w:instrText>
          </w:r>
          <w:r>
            <w:rPr>
              <w:b/>
              <w:sz w:val="15"/>
              <w:szCs w:val="15"/>
            </w:rPr>
            <w:fldChar w:fldCharType="separate"/>
          </w:r>
          <w:r>
            <w:rPr>
              <w:b/>
              <w:noProof/>
              <w:sz w:val="15"/>
              <w:szCs w:val="15"/>
            </w:rPr>
            <w:t>2</w:t>
          </w:r>
          <w:r>
            <w:rPr>
              <w:b/>
              <w:sz w:val="15"/>
              <w:szCs w:val="15"/>
            </w:rPr>
            <w:fldChar w:fldCharType="end"/>
          </w:r>
        </w:p>
      </w:tc>
    </w:tr>
  </w:tbl>
  <w:p w:rsidR="00B54304" w:rsidRPr="005A6D0B" w:rsidRDefault="00B54304" w:rsidP="00684FAC">
    <w:pPr>
      <w:pStyle w:val="Header"/>
      <w:ind w:right="36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745" w:rsidRDefault="00F83745">
    <w:pPr>
      <w:pStyle w:val="Header"/>
    </w:pPr>
  </w:p>
  <w:p w:rsidR="00D67F80" w:rsidRDefault="00D67F8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745" w:rsidRDefault="00F83745">
    <w:pPr>
      <w:pStyle w:val="Header"/>
    </w:pPr>
  </w:p>
  <w:p w:rsidR="00D67F80" w:rsidRDefault="00D67F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F1036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AD4D22"/>
    <w:multiLevelType w:val="multilevel"/>
    <w:tmpl w:val="B5C8575E"/>
    <w:lvl w:ilvl="0">
      <w:start w:val="1"/>
      <w:numFmt w:val="decimal"/>
      <w:lvlText w:val="%1"/>
      <w:lvlJc w:val="left"/>
      <w:pPr>
        <w:ind w:left="432" w:hanging="432"/>
      </w:pPr>
      <w:rPr>
        <w:rFonts w:hint="default"/>
        <w:b w:val="0"/>
        <w:i w:val="0"/>
        <w:sz w:val="32"/>
        <w:szCs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7596C47"/>
    <w:multiLevelType w:val="multilevel"/>
    <w:tmpl w:val="A55C6B84"/>
    <w:lvl w:ilvl="0">
      <w:start w:val="1"/>
      <w:numFmt w:val="decimal"/>
      <w:pStyle w:val="Heading1"/>
      <w:lvlText w:val="%1"/>
      <w:lvlJc w:val="right"/>
      <w:pPr>
        <w:tabs>
          <w:tab w:val="num" w:pos="0"/>
        </w:tabs>
        <w:ind w:left="0" w:hanging="85"/>
      </w:pPr>
      <w:rPr>
        <w:rFonts w:ascii="Sansa Lloyds" w:hAnsi="Sansa Lloyds" w:hint="default"/>
        <w:b w:val="0"/>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3" w15:restartNumberingAfterBreak="0">
    <w:nsid w:val="2A621B62"/>
    <w:multiLevelType w:val="hybridMultilevel"/>
    <w:tmpl w:val="D9DA2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079049A"/>
    <w:multiLevelType w:val="hybridMultilevel"/>
    <w:tmpl w:val="D9DA2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8"/>
  </w:num>
  <w:num w:numId="4">
    <w:abstractNumId w:val="5"/>
  </w:num>
  <w:num w:numId="5">
    <w:abstractNumId w:val="2"/>
  </w:num>
  <w:num w:numId="6">
    <w:abstractNumId w:val="0"/>
  </w:num>
  <w:num w:numId="7">
    <w:abstractNumId w:val="3"/>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6385"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Adam Cable"/>
    <w:docVar w:name="FromTitle" w:val="Executive, International Reporting"/>
  </w:docVars>
  <w:rsids>
    <w:rsidRoot w:val="00B12619"/>
    <w:rsid w:val="00002927"/>
    <w:rsid w:val="000054BF"/>
    <w:rsid w:val="00011B08"/>
    <w:rsid w:val="0001404B"/>
    <w:rsid w:val="0001720D"/>
    <w:rsid w:val="00021C9C"/>
    <w:rsid w:val="00036347"/>
    <w:rsid w:val="00045875"/>
    <w:rsid w:val="00045CA8"/>
    <w:rsid w:val="00054C5F"/>
    <w:rsid w:val="000A153C"/>
    <w:rsid w:val="000B44F4"/>
    <w:rsid w:val="000C4962"/>
    <w:rsid w:val="000D546A"/>
    <w:rsid w:val="000E45B9"/>
    <w:rsid w:val="000F0E52"/>
    <w:rsid w:val="00106B3E"/>
    <w:rsid w:val="001075BA"/>
    <w:rsid w:val="00130738"/>
    <w:rsid w:val="001354E3"/>
    <w:rsid w:val="00161E6D"/>
    <w:rsid w:val="00172CC7"/>
    <w:rsid w:val="00183B30"/>
    <w:rsid w:val="00192AE9"/>
    <w:rsid w:val="001B50E4"/>
    <w:rsid w:val="001B660C"/>
    <w:rsid w:val="001C7C59"/>
    <w:rsid w:val="001D5AEE"/>
    <w:rsid w:val="001E43D6"/>
    <w:rsid w:val="00204085"/>
    <w:rsid w:val="00206552"/>
    <w:rsid w:val="002211F1"/>
    <w:rsid w:val="002432DD"/>
    <w:rsid w:val="0026075D"/>
    <w:rsid w:val="00267F6E"/>
    <w:rsid w:val="00283200"/>
    <w:rsid w:val="0029202E"/>
    <w:rsid w:val="002950CC"/>
    <w:rsid w:val="002A3ABE"/>
    <w:rsid w:val="002C7825"/>
    <w:rsid w:val="002D1C61"/>
    <w:rsid w:val="002E5383"/>
    <w:rsid w:val="003376A4"/>
    <w:rsid w:val="00341DD6"/>
    <w:rsid w:val="0034754C"/>
    <w:rsid w:val="003500B6"/>
    <w:rsid w:val="00364658"/>
    <w:rsid w:val="00364EE8"/>
    <w:rsid w:val="00370274"/>
    <w:rsid w:val="00377A49"/>
    <w:rsid w:val="003A30C5"/>
    <w:rsid w:val="003B07D7"/>
    <w:rsid w:val="003B0EE1"/>
    <w:rsid w:val="003B5DE1"/>
    <w:rsid w:val="003C26C4"/>
    <w:rsid w:val="003C5324"/>
    <w:rsid w:val="003D76EF"/>
    <w:rsid w:val="003F40B3"/>
    <w:rsid w:val="004006C0"/>
    <w:rsid w:val="00452353"/>
    <w:rsid w:val="00452D18"/>
    <w:rsid w:val="004534DD"/>
    <w:rsid w:val="004569E3"/>
    <w:rsid w:val="00456EC4"/>
    <w:rsid w:val="004578B9"/>
    <w:rsid w:val="00474A4F"/>
    <w:rsid w:val="0047577C"/>
    <w:rsid w:val="00487A05"/>
    <w:rsid w:val="004C02C9"/>
    <w:rsid w:val="004C3793"/>
    <w:rsid w:val="004F79C4"/>
    <w:rsid w:val="00500E5F"/>
    <w:rsid w:val="005025C9"/>
    <w:rsid w:val="00504413"/>
    <w:rsid w:val="005051D9"/>
    <w:rsid w:val="00505D35"/>
    <w:rsid w:val="0051520D"/>
    <w:rsid w:val="00521961"/>
    <w:rsid w:val="0055713B"/>
    <w:rsid w:val="00571D2C"/>
    <w:rsid w:val="0057291E"/>
    <w:rsid w:val="0058051B"/>
    <w:rsid w:val="0059672E"/>
    <w:rsid w:val="005A5A78"/>
    <w:rsid w:val="005A6D0B"/>
    <w:rsid w:val="005B7566"/>
    <w:rsid w:val="005C0625"/>
    <w:rsid w:val="005C34F5"/>
    <w:rsid w:val="005C5E70"/>
    <w:rsid w:val="005D1442"/>
    <w:rsid w:val="005D4076"/>
    <w:rsid w:val="005E4937"/>
    <w:rsid w:val="005E51AF"/>
    <w:rsid w:val="005F32E6"/>
    <w:rsid w:val="006023B2"/>
    <w:rsid w:val="006117A2"/>
    <w:rsid w:val="0062010F"/>
    <w:rsid w:val="006265E4"/>
    <w:rsid w:val="006424DD"/>
    <w:rsid w:val="00684FAC"/>
    <w:rsid w:val="006952C0"/>
    <w:rsid w:val="006A688A"/>
    <w:rsid w:val="006B1789"/>
    <w:rsid w:val="006B2A8F"/>
    <w:rsid w:val="006D7FF6"/>
    <w:rsid w:val="006E4CEA"/>
    <w:rsid w:val="006E50C5"/>
    <w:rsid w:val="006F3222"/>
    <w:rsid w:val="006F7C24"/>
    <w:rsid w:val="0070009B"/>
    <w:rsid w:val="00742769"/>
    <w:rsid w:val="00763344"/>
    <w:rsid w:val="00766015"/>
    <w:rsid w:val="007A58A2"/>
    <w:rsid w:val="007A6619"/>
    <w:rsid w:val="007D4B24"/>
    <w:rsid w:val="007D68E0"/>
    <w:rsid w:val="008109B7"/>
    <w:rsid w:val="00825607"/>
    <w:rsid w:val="008443DF"/>
    <w:rsid w:val="00856DC8"/>
    <w:rsid w:val="00863179"/>
    <w:rsid w:val="00882C8B"/>
    <w:rsid w:val="008845C1"/>
    <w:rsid w:val="00891A54"/>
    <w:rsid w:val="00894961"/>
    <w:rsid w:val="008A2352"/>
    <w:rsid w:val="008A5172"/>
    <w:rsid w:val="008B14C4"/>
    <w:rsid w:val="008C1955"/>
    <w:rsid w:val="008D62B8"/>
    <w:rsid w:val="008D7112"/>
    <w:rsid w:val="008E03C9"/>
    <w:rsid w:val="008F5DD2"/>
    <w:rsid w:val="008F65F9"/>
    <w:rsid w:val="008F7E4B"/>
    <w:rsid w:val="00906544"/>
    <w:rsid w:val="00911F68"/>
    <w:rsid w:val="00921E60"/>
    <w:rsid w:val="00927155"/>
    <w:rsid w:val="00931037"/>
    <w:rsid w:val="00937239"/>
    <w:rsid w:val="00961371"/>
    <w:rsid w:val="00974068"/>
    <w:rsid w:val="009C3B36"/>
    <w:rsid w:val="009C43A4"/>
    <w:rsid w:val="009D3A14"/>
    <w:rsid w:val="009E2EF3"/>
    <w:rsid w:val="00A20CEF"/>
    <w:rsid w:val="00A377DA"/>
    <w:rsid w:val="00A47319"/>
    <w:rsid w:val="00A669E8"/>
    <w:rsid w:val="00AA7B0B"/>
    <w:rsid w:val="00AB18EE"/>
    <w:rsid w:val="00AB5AEE"/>
    <w:rsid w:val="00AC328A"/>
    <w:rsid w:val="00AC57F8"/>
    <w:rsid w:val="00AD105C"/>
    <w:rsid w:val="00AF107B"/>
    <w:rsid w:val="00B015D0"/>
    <w:rsid w:val="00B05597"/>
    <w:rsid w:val="00B12619"/>
    <w:rsid w:val="00B26904"/>
    <w:rsid w:val="00B3229D"/>
    <w:rsid w:val="00B430F1"/>
    <w:rsid w:val="00B46EA7"/>
    <w:rsid w:val="00B50FE9"/>
    <w:rsid w:val="00B52064"/>
    <w:rsid w:val="00B54304"/>
    <w:rsid w:val="00B5731C"/>
    <w:rsid w:val="00B6317E"/>
    <w:rsid w:val="00B7760C"/>
    <w:rsid w:val="00B86BF5"/>
    <w:rsid w:val="00BA101E"/>
    <w:rsid w:val="00BA3710"/>
    <w:rsid w:val="00BA3A8D"/>
    <w:rsid w:val="00BA42A9"/>
    <w:rsid w:val="00BB3FD4"/>
    <w:rsid w:val="00BC75CF"/>
    <w:rsid w:val="00BF1B6B"/>
    <w:rsid w:val="00BF361A"/>
    <w:rsid w:val="00C315EB"/>
    <w:rsid w:val="00C437E5"/>
    <w:rsid w:val="00C604E4"/>
    <w:rsid w:val="00C61739"/>
    <w:rsid w:val="00C927F1"/>
    <w:rsid w:val="00CA4B96"/>
    <w:rsid w:val="00CB09EF"/>
    <w:rsid w:val="00CD481A"/>
    <w:rsid w:val="00CE2581"/>
    <w:rsid w:val="00D05D41"/>
    <w:rsid w:val="00D20F67"/>
    <w:rsid w:val="00D2516C"/>
    <w:rsid w:val="00D301ED"/>
    <w:rsid w:val="00D41F79"/>
    <w:rsid w:val="00D57BB8"/>
    <w:rsid w:val="00D67F80"/>
    <w:rsid w:val="00D85CF4"/>
    <w:rsid w:val="00D8712B"/>
    <w:rsid w:val="00D96329"/>
    <w:rsid w:val="00DD17E6"/>
    <w:rsid w:val="00DE7568"/>
    <w:rsid w:val="00DF4740"/>
    <w:rsid w:val="00DF664D"/>
    <w:rsid w:val="00E009AB"/>
    <w:rsid w:val="00E069E3"/>
    <w:rsid w:val="00E07F89"/>
    <w:rsid w:val="00E1142A"/>
    <w:rsid w:val="00E216F3"/>
    <w:rsid w:val="00E22E1A"/>
    <w:rsid w:val="00E23377"/>
    <w:rsid w:val="00E354CC"/>
    <w:rsid w:val="00E56D56"/>
    <w:rsid w:val="00E57AA5"/>
    <w:rsid w:val="00E746A6"/>
    <w:rsid w:val="00E77013"/>
    <w:rsid w:val="00E97AB3"/>
    <w:rsid w:val="00EA0851"/>
    <w:rsid w:val="00EA5ED7"/>
    <w:rsid w:val="00ED5B57"/>
    <w:rsid w:val="00EE5AB7"/>
    <w:rsid w:val="00EE5E3D"/>
    <w:rsid w:val="00F0000F"/>
    <w:rsid w:val="00F04EF3"/>
    <w:rsid w:val="00F32062"/>
    <w:rsid w:val="00F35772"/>
    <w:rsid w:val="00F3681E"/>
    <w:rsid w:val="00F451D6"/>
    <w:rsid w:val="00F50D48"/>
    <w:rsid w:val="00F63C12"/>
    <w:rsid w:val="00F75F70"/>
    <w:rsid w:val="00F83745"/>
    <w:rsid w:val="00F96B42"/>
    <w:rsid w:val="00FA5342"/>
    <w:rsid w:val="00FA5401"/>
    <w:rsid w:val="00FC6226"/>
    <w:rsid w:val="00FD6D8A"/>
    <w:rsid w:val="00FF4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v-text-anchor:middle" fillcolor="#0c9" stroke="f">
      <v:fill color="#0c9"/>
      <v:stroke on="f"/>
      <o:colormru v:ext="edit" colors="#abda96,#0c6,#99f,#0c0,#0c9,#6bbd46,#c41200,#ffc400"/>
    </o:shapedefaults>
    <o:shapelayout v:ext="edit">
      <o:idmap v:ext="edit" data="1"/>
    </o:shapelayout>
  </w:shapeDefaults>
  <w:decimalSymbol w:val="."/>
  <w:listSeparator w:val=","/>
  <w15:docId w15:val="{581BB80B-2E8F-4AAE-95F0-02508AC0B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4304"/>
    <w:pPr>
      <w:tabs>
        <w:tab w:val="right" w:pos="9582"/>
      </w:tabs>
      <w:spacing w:after="120" w:line="240" w:lineRule="atLeast"/>
    </w:pPr>
    <w:rPr>
      <w:rFonts w:ascii="Arial" w:hAnsi="Arial"/>
      <w:sz w:val="18"/>
    </w:rPr>
  </w:style>
  <w:style w:type="paragraph" w:styleId="Heading1">
    <w:name w:val="heading 1"/>
    <w:basedOn w:val="Normal"/>
    <w:next w:val="Heading2"/>
    <w:link w:val="Heading1Char"/>
    <w:qFormat/>
    <w:rsid w:val="00882C8B"/>
    <w:pPr>
      <w:numPr>
        <w:numId w:val="5"/>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link w:val="Heading2Char"/>
    <w:qFormat/>
    <w:rsid w:val="00882C8B"/>
    <w:pPr>
      <w:numPr>
        <w:ilvl w:val="1"/>
      </w:numPr>
      <w:spacing w:before="140" w:after="0" w:line="280" w:lineRule="exact"/>
      <w:outlineLvl w:val="1"/>
    </w:pPr>
    <w:rPr>
      <w:rFonts w:ascii="Arial" w:hAnsi="Arial"/>
      <w:b/>
      <w:color w:val="1E35BF" w:themeColor="accent1"/>
      <w:sz w:val="22"/>
      <w:szCs w:val="22"/>
    </w:rPr>
  </w:style>
  <w:style w:type="paragraph" w:styleId="Heading3">
    <w:name w:val="heading 3"/>
    <w:basedOn w:val="Heading2"/>
    <w:next w:val="Normal"/>
    <w:link w:val="Heading3Char"/>
    <w:qFormat/>
    <w:rsid w:val="0051520D"/>
    <w:pPr>
      <w:numPr>
        <w:ilvl w:val="2"/>
      </w:numPr>
      <w:outlineLvl w:val="2"/>
    </w:pPr>
    <w:rPr>
      <w:color w:val="auto"/>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num" w:pos="360"/>
        <w:tab w:val="left" w:pos="714"/>
        <w:tab w:val="left" w:pos="1072"/>
        <w:tab w:val="left" w:pos="1429"/>
      </w:tabs>
      <w:spacing w:after="0"/>
      <w:ind w:left="0" w:firstLine="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link w:val="FootnoteTextChar"/>
    <w:uiPriority w:val="99"/>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BF361A"/>
    <w:pPr>
      <w:tabs>
        <w:tab w:val="right" w:pos="9356"/>
      </w:tabs>
      <w:spacing w:before="240" w:after="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uiPriority w:val="39"/>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link w:val="HeaderChar"/>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BalloonText">
    <w:name w:val="Balloon Text"/>
    <w:basedOn w:val="Normal"/>
    <w:link w:val="BalloonTextChar"/>
    <w:rsid w:val="00B126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12619"/>
    <w:rPr>
      <w:rFonts w:ascii="Tahoma" w:hAnsi="Tahoma" w:cs="Tahoma"/>
      <w:sz w:val="16"/>
      <w:szCs w:val="16"/>
    </w:rPr>
  </w:style>
  <w:style w:type="paragraph" w:styleId="ListBullet">
    <w:name w:val="List Bullet"/>
    <w:basedOn w:val="Normal"/>
    <w:rsid w:val="00B12619"/>
    <w:pPr>
      <w:numPr>
        <w:numId w:val="6"/>
      </w:numPr>
      <w:contextualSpacing/>
    </w:pPr>
  </w:style>
  <w:style w:type="paragraph" w:styleId="TOCHeading">
    <w:name w:val="TOC Heading"/>
    <w:basedOn w:val="Heading1"/>
    <w:next w:val="Normal"/>
    <w:uiPriority w:val="39"/>
    <w:semiHidden/>
    <w:unhideWhenUsed/>
    <w:qFormat/>
    <w:rsid w:val="00B12619"/>
    <w:pPr>
      <w:keepNext/>
      <w:keepLines/>
      <w:numPr>
        <w:numId w:val="0"/>
      </w:numPr>
      <w:spacing w:before="480" w:after="0" w:line="276" w:lineRule="auto"/>
      <w:outlineLvl w:val="9"/>
    </w:pPr>
    <w:rPr>
      <w:rFonts w:eastAsiaTheme="majorEastAsia" w:cstheme="majorBidi"/>
      <w:b/>
      <w:bCs/>
      <w:color w:val="16278E" w:themeColor="accent1" w:themeShade="BF"/>
      <w:spacing w:val="0"/>
      <w:kern w:val="0"/>
      <w:sz w:val="28"/>
      <w:szCs w:val="28"/>
      <w:lang w:val="en-US" w:eastAsia="ja-JP"/>
    </w:rPr>
  </w:style>
  <w:style w:type="table" w:customStyle="1" w:styleId="TableGrid1">
    <w:name w:val="Table Grid1"/>
    <w:basedOn w:val="TableNormal"/>
    <w:next w:val="TableGrid"/>
    <w:uiPriority w:val="59"/>
    <w:rsid w:val="00B12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5A5A78"/>
    <w:rPr>
      <w:rFonts w:ascii="Arial" w:hAnsi="Arial"/>
    </w:rPr>
  </w:style>
  <w:style w:type="character" w:styleId="FootnoteReference">
    <w:name w:val="footnote reference"/>
    <w:basedOn w:val="DefaultParagraphFont"/>
    <w:uiPriority w:val="99"/>
    <w:unhideWhenUsed/>
    <w:rsid w:val="005A5A78"/>
    <w:rPr>
      <w:vertAlign w:val="superscript"/>
    </w:rPr>
  </w:style>
  <w:style w:type="paragraph" w:styleId="ListParagraph">
    <w:name w:val="List Paragraph"/>
    <w:basedOn w:val="Normal"/>
    <w:uiPriority w:val="34"/>
    <w:qFormat/>
    <w:rsid w:val="00894961"/>
    <w:pPr>
      <w:spacing w:after="0" w:line="280" w:lineRule="atLeast"/>
      <w:ind w:left="720"/>
      <w:contextualSpacing/>
    </w:pPr>
    <w:rPr>
      <w:sz w:val="22"/>
      <w:lang w:eastAsia="en-US"/>
    </w:rPr>
  </w:style>
  <w:style w:type="character" w:styleId="CommentReference">
    <w:name w:val="annotation reference"/>
    <w:basedOn w:val="DefaultParagraphFont"/>
    <w:rsid w:val="00D57BB8"/>
    <w:rPr>
      <w:sz w:val="16"/>
      <w:szCs w:val="16"/>
    </w:rPr>
  </w:style>
  <w:style w:type="paragraph" w:styleId="CommentSubject">
    <w:name w:val="annotation subject"/>
    <w:basedOn w:val="CommentText"/>
    <w:next w:val="CommentText"/>
    <w:link w:val="CommentSubjectChar"/>
    <w:rsid w:val="00D57BB8"/>
    <w:pPr>
      <w:spacing w:line="240" w:lineRule="auto"/>
    </w:pPr>
    <w:rPr>
      <w:b/>
      <w:bCs/>
    </w:rPr>
  </w:style>
  <w:style w:type="character" w:customStyle="1" w:styleId="CommentTextChar">
    <w:name w:val="Comment Text Char"/>
    <w:basedOn w:val="DefaultParagraphFont"/>
    <w:link w:val="CommentText"/>
    <w:semiHidden/>
    <w:rsid w:val="00D57BB8"/>
    <w:rPr>
      <w:rFonts w:ascii="Arial" w:hAnsi="Arial"/>
    </w:rPr>
  </w:style>
  <w:style w:type="character" w:customStyle="1" w:styleId="CommentSubjectChar">
    <w:name w:val="Comment Subject Char"/>
    <w:basedOn w:val="CommentTextChar"/>
    <w:link w:val="CommentSubject"/>
    <w:rsid w:val="00D57BB8"/>
    <w:rPr>
      <w:rFonts w:ascii="Arial" w:hAnsi="Arial"/>
      <w:b/>
      <w:bCs/>
    </w:rPr>
  </w:style>
  <w:style w:type="paragraph" w:styleId="Revision">
    <w:name w:val="Revision"/>
    <w:hidden/>
    <w:uiPriority w:val="99"/>
    <w:semiHidden/>
    <w:rsid w:val="00F96B42"/>
    <w:rPr>
      <w:rFonts w:ascii="Arial" w:hAnsi="Arial"/>
      <w:sz w:val="18"/>
    </w:rPr>
  </w:style>
  <w:style w:type="character" w:customStyle="1" w:styleId="Heading2Char">
    <w:name w:val="Heading 2 Char"/>
    <w:link w:val="Heading2"/>
    <w:rsid w:val="00B54304"/>
    <w:rPr>
      <w:rFonts w:ascii="Arial" w:hAnsi="Arial"/>
      <w:b/>
      <w:color w:val="1E35BF" w:themeColor="accent1"/>
      <w:spacing w:val="-2"/>
      <w:kern w:val="28"/>
      <w:sz w:val="22"/>
      <w:szCs w:val="22"/>
    </w:rPr>
  </w:style>
  <w:style w:type="character" w:customStyle="1" w:styleId="Heading1Char">
    <w:name w:val="Heading 1 Char"/>
    <w:link w:val="Heading1"/>
    <w:rsid w:val="00B54304"/>
    <w:rPr>
      <w:rFonts w:asciiTheme="majorHAnsi" w:hAnsiTheme="majorHAnsi"/>
      <w:spacing w:val="-2"/>
      <w:kern w:val="28"/>
      <w:sz w:val="32"/>
      <w:szCs w:val="32"/>
    </w:rPr>
  </w:style>
  <w:style w:type="character" w:customStyle="1" w:styleId="Heading3Char">
    <w:name w:val="Heading 3 Char"/>
    <w:link w:val="Heading3"/>
    <w:rsid w:val="00B54304"/>
    <w:rPr>
      <w:rFonts w:ascii="Arial" w:hAnsi="Arial"/>
      <w:b/>
      <w:spacing w:val="-2"/>
      <w:kern w:val="28"/>
      <w:sz w:val="22"/>
      <w:szCs w:val="22"/>
    </w:rPr>
  </w:style>
  <w:style w:type="character" w:customStyle="1" w:styleId="HeaderChar">
    <w:name w:val="Header Char"/>
    <w:link w:val="Header"/>
    <w:rsid w:val="00B54304"/>
    <w:rPr>
      <w:rFonts w:ascii="Arial" w:hAnsi="Arial"/>
      <w:sz w:val="18"/>
    </w:rPr>
  </w:style>
  <w:style w:type="character" w:customStyle="1" w:styleId="FooterChar">
    <w:name w:val="Footer Char"/>
    <w:basedOn w:val="DefaultParagraphFont"/>
    <w:link w:val="Footer"/>
    <w:uiPriority w:val="99"/>
    <w:rsid w:val="00FD6D8A"/>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Report%20-%20Portrait%20-%20White%20-%20Full%20width%20-%20Numbered.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A3776F-8721-4785-9129-CF8885DCB5B0}"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69634F9C-3412-4312-BD46-FD177AA0EE85}">
      <dgm:prSet phldrT="[Text]"/>
      <dgm:spPr>
        <a:xfrm>
          <a:off x="444501" y="394"/>
          <a:ext cx="1601036" cy="960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dirty="0">
              <a:solidFill>
                <a:sysClr val="window" lastClr="FFFFFF"/>
              </a:solidFill>
              <a:latin typeface="Calibri"/>
              <a:ea typeface="+mn-ea"/>
              <a:cs typeface="+mn-cs"/>
            </a:rPr>
            <a:t>Most relevant stakeholder to report business to Lloyd’s via monthly  risk bordereaux submission</a:t>
          </a:r>
        </a:p>
      </dgm:t>
    </dgm:pt>
    <dgm:pt modelId="{7A12A97B-4120-4C32-890E-564C480E1732}" type="parTrans" cxnId="{5AC2AC48-EBC5-4BF4-BE0B-BC46536CF8F5}">
      <dgm:prSet/>
      <dgm:spPr/>
      <dgm:t>
        <a:bodyPr/>
        <a:lstStyle/>
        <a:p>
          <a:pPr algn="ctr"/>
          <a:endParaRPr lang="en-GB"/>
        </a:p>
      </dgm:t>
    </dgm:pt>
    <dgm:pt modelId="{A89681F8-ED9C-4372-9406-8C9A13A8DA77}" type="sibTrans" cxnId="{5AC2AC48-EBC5-4BF4-BE0B-BC46536CF8F5}">
      <dgm:prSet/>
      <dgm:spPr>
        <a:xfrm>
          <a:off x="2186428" y="282176"/>
          <a:ext cx="339419" cy="39705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endParaRPr lang="en-GB">
            <a:solidFill>
              <a:sysClr val="window" lastClr="FFFFFF"/>
            </a:solidFill>
            <a:latin typeface="Calibri"/>
            <a:ea typeface="+mn-ea"/>
            <a:cs typeface="+mn-cs"/>
          </a:endParaRPr>
        </a:p>
      </dgm:t>
    </dgm:pt>
    <dgm:pt modelId="{FAB9F682-43F7-4975-945F-2E430A96A580}">
      <dgm:prSet phldrT="[Text]"/>
      <dgm:spPr>
        <a:xfrm>
          <a:off x="2685951" y="394"/>
          <a:ext cx="1601036" cy="960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dirty="0">
              <a:solidFill>
                <a:sysClr val="window" lastClr="FFFFFF"/>
              </a:solidFill>
              <a:latin typeface="Calibri"/>
              <a:ea typeface="+mn-ea"/>
              <a:cs typeface="+mn-cs"/>
            </a:rPr>
            <a:t>Lloyd’s to collate the risk bordereaux information to calculate the levy payment due from each syndicate</a:t>
          </a:r>
        </a:p>
      </dgm:t>
    </dgm:pt>
    <dgm:pt modelId="{6DCF6AC7-72D1-423B-AC2A-AAC0E75FB3CF}" type="parTrans" cxnId="{E933C49D-04C2-4E5D-87F7-E1AAEFB2C850}">
      <dgm:prSet/>
      <dgm:spPr/>
      <dgm:t>
        <a:bodyPr/>
        <a:lstStyle/>
        <a:p>
          <a:pPr algn="ctr"/>
          <a:endParaRPr lang="en-GB"/>
        </a:p>
      </dgm:t>
    </dgm:pt>
    <dgm:pt modelId="{E2FD144C-4EE8-4B39-B4A6-5CDEAD42B45F}" type="sibTrans" cxnId="{E933C49D-04C2-4E5D-87F7-E1AAEFB2C850}">
      <dgm:prSet/>
      <dgm:spPr>
        <a:xfrm rot="5400000">
          <a:off x="3316759" y="1073088"/>
          <a:ext cx="339419" cy="39705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endParaRPr lang="en-GB">
            <a:solidFill>
              <a:sysClr val="window" lastClr="FFFFFF"/>
            </a:solidFill>
            <a:latin typeface="Calibri"/>
            <a:ea typeface="+mn-ea"/>
            <a:cs typeface="+mn-cs"/>
          </a:endParaRPr>
        </a:p>
      </dgm:t>
    </dgm:pt>
    <dgm:pt modelId="{5930E087-6D55-444D-98C6-DFC4FFC5A81B}">
      <dgm:prSet phldrT="[Text]"/>
      <dgm:spPr>
        <a:xfrm>
          <a:off x="2685951" y="1601430"/>
          <a:ext cx="1601036" cy="960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dirty="0">
              <a:solidFill>
                <a:sysClr val="window" lastClr="FFFFFF"/>
              </a:solidFill>
              <a:latin typeface="Calibri"/>
              <a:ea typeface="+mn-ea"/>
              <a:cs typeface="+mn-cs"/>
            </a:rPr>
            <a:t>Lloyd’s to centrally collect the levy amount from the lead and following syndicates</a:t>
          </a:r>
        </a:p>
      </dgm:t>
    </dgm:pt>
    <dgm:pt modelId="{F2763E21-8801-440C-820B-326B74146391}" type="parTrans" cxnId="{78AD3351-5001-4ABB-B7EF-D2455CB0BB14}">
      <dgm:prSet/>
      <dgm:spPr/>
      <dgm:t>
        <a:bodyPr/>
        <a:lstStyle/>
        <a:p>
          <a:pPr algn="ctr"/>
          <a:endParaRPr lang="en-GB"/>
        </a:p>
      </dgm:t>
    </dgm:pt>
    <dgm:pt modelId="{B52B5EB3-E346-486A-BB3F-E78253FDC1E7}" type="sibTrans" cxnId="{78AD3351-5001-4ABB-B7EF-D2455CB0BB14}">
      <dgm:prSet/>
      <dgm:spPr>
        <a:xfrm rot="10800000">
          <a:off x="2205640" y="1883213"/>
          <a:ext cx="339419" cy="39705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endParaRPr lang="en-GB">
            <a:solidFill>
              <a:sysClr val="window" lastClr="FFFFFF"/>
            </a:solidFill>
            <a:latin typeface="Calibri"/>
            <a:ea typeface="+mn-ea"/>
            <a:cs typeface="+mn-cs"/>
          </a:endParaRPr>
        </a:p>
      </dgm:t>
    </dgm:pt>
    <dgm:pt modelId="{64303E9F-7174-4F2D-94BC-74E03D33709F}">
      <dgm:prSet phldrT="[Text]"/>
      <dgm:spPr>
        <a:xfrm>
          <a:off x="444501" y="1601430"/>
          <a:ext cx="1601036" cy="960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en-GB" dirty="0">
              <a:solidFill>
                <a:sysClr val="window" lastClr="FFFFFF"/>
              </a:solidFill>
              <a:latin typeface="Calibri"/>
              <a:ea typeface="+mn-ea"/>
              <a:cs typeface="+mn-cs"/>
            </a:rPr>
            <a:t>Lloyd’s will report and pay the total levy amount to the Insurance Authority</a:t>
          </a:r>
        </a:p>
      </dgm:t>
    </dgm:pt>
    <dgm:pt modelId="{E5969BED-416E-49FD-8EB5-1ECC62E7371E}" type="parTrans" cxnId="{F22939A9-9A7F-4988-BA01-0B3CBC6A93CE}">
      <dgm:prSet/>
      <dgm:spPr/>
      <dgm:t>
        <a:bodyPr/>
        <a:lstStyle/>
        <a:p>
          <a:pPr algn="ctr"/>
          <a:endParaRPr lang="en-GB"/>
        </a:p>
      </dgm:t>
    </dgm:pt>
    <dgm:pt modelId="{0A83D74C-E95E-4149-86F1-CA8B13F79089}" type="sibTrans" cxnId="{F22939A9-9A7F-4988-BA01-0B3CBC6A93CE}">
      <dgm:prSet/>
      <dgm:spPr/>
      <dgm:t>
        <a:bodyPr/>
        <a:lstStyle/>
        <a:p>
          <a:pPr algn="ctr"/>
          <a:endParaRPr lang="en-GB"/>
        </a:p>
      </dgm:t>
    </dgm:pt>
    <dgm:pt modelId="{DE297261-6BEA-4A1F-8EA7-DED7A8FDC603}" type="pres">
      <dgm:prSet presAssocID="{95A3776F-8721-4785-9129-CF8885DCB5B0}" presName="diagram" presStyleCnt="0">
        <dgm:presLayoutVars>
          <dgm:dir/>
          <dgm:resizeHandles val="exact"/>
        </dgm:presLayoutVars>
      </dgm:prSet>
      <dgm:spPr/>
    </dgm:pt>
    <dgm:pt modelId="{68BA01EC-EF97-415B-87B7-2BDAA6A33FF5}" type="pres">
      <dgm:prSet presAssocID="{69634F9C-3412-4312-BD46-FD177AA0EE85}" presName="node" presStyleLbl="node1" presStyleIdx="0" presStyleCnt="4">
        <dgm:presLayoutVars>
          <dgm:bulletEnabled val="1"/>
        </dgm:presLayoutVars>
      </dgm:prSet>
      <dgm:spPr/>
    </dgm:pt>
    <dgm:pt modelId="{B3E659F7-DDBF-40F2-A405-AAB63397A8D0}" type="pres">
      <dgm:prSet presAssocID="{A89681F8-ED9C-4372-9406-8C9A13A8DA77}" presName="sibTrans" presStyleLbl="sibTrans2D1" presStyleIdx="0" presStyleCnt="3"/>
      <dgm:spPr/>
    </dgm:pt>
    <dgm:pt modelId="{BCA47FCE-2718-482E-8540-BDBAC0DADFFF}" type="pres">
      <dgm:prSet presAssocID="{A89681F8-ED9C-4372-9406-8C9A13A8DA77}" presName="connectorText" presStyleLbl="sibTrans2D1" presStyleIdx="0" presStyleCnt="3"/>
      <dgm:spPr/>
    </dgm:pt>
    <dgm:pt modelId="{301EC9FB-401F-435D-A777-778F5C7F34D7}" type="pres">
      <dgm:prSet presAssocID="{FAB9F682-43F7-4975-945F-2E430A96A580}" presName="node" presStyleLbl="node1" presStyleIdx="1" presStyleCnt="4">
        <dgm:presLayoutVars>
          <dgm:bulletEnabled val="1"/>
        </dgm:presLayoutVars>
      </dgm:prSet>
      <dgm:spPr/>
    </dgm:pt>
    <dgm:pt modelId="{E6A035B9-3AC9-44F4-8A68-95DACB9BD85F}" type="pres">
      <dgm:prSet presAssocID="{E2FD144C-4EE8-4B39-B4A6-5CDEAD42B45F}" presName="sibTrans" presStyleLbl="sibTrans2D1" presStyleIdx="1" presStyleCnt="3"/>
      <dgm:spPr/>
    </dgm:pt>
    <dgm:pt modelId="{4A5D50C3-6A4F-431F-B72A-C6322E002C14}" type="pres">
      <dgm:prSet presAssocID="{E2FD144C-4EE8-4B39-B4A6-5CDEAD42B45F}" presName="connectorText" presStyleLbl="sibTrans2D1" presStyleIdx="1" presStyleCnt="3"/>
      <dgm:spPr/>
    </dgm:pt>
    <dgm:pt modelId="{5E4D4835-A74F-44E9-8E6A-0413D18848D3}" type="pres">
      <dgm:prSet presAssocID="{5930E087-6D55-444D-98C6-DFC4FFC5A81B}" presName="node" presStyleLbl="node1" presStyleIdx="2" presStyleCnt="4">
        <dgm:presLayoutVars>
          <dgm:bulletEnabled val="1"/>
        </dgm:presLayoutVars>
      </dgm:prSet>
      <dgm:spPr/>
    </dgm:pt>
    <dgm:pt modelId="{EBB06D00-862F-4FE2-B5B1-D86FA34A7FF0}" type="pres">
      <dgm:prSet presAssocID="{B52B5EB3-E346-486A-BB3F-E78253FDC1E7}" presName="sibTrans" presStyleLbl="sibTrans2D1" presStyleIdx="2" presStyleCnt="3"/>
      <dgm:spPr/>
    </dgm:pt>
    <dgm:pt modelId="{A841561C-27B4-4C7B-B34E-3605C5623D7B}" type="pres">
      <dgm:prSet presAssocID="{B52B5EB3-E346-486A-BB3F-E78253FDC1E7}" presName="connectorText" presStyleLbl="sibTrans2D1" presStyleIdx="2" presStyleCnt="3"/>
      <dgm:spPr/>
    </dgm:pt>
    <dgm:pt modelId="{487D65E0-EFBA-40B7-B682-53E348955F62}" type="pres">
      <dgm:prSet presAssocID="{64303E9F-7174-4F2D-94BC-74E03D33709F}" presName="node" presStyleLbl="node1" presStyleIdx="3" presStyleCnt="4">
        <dgm:presLayoutVars>
          <dgm:bulletEnabled val="1"/>
        </dgm:presLayoutVars>
      </dgm:prSet>
      <dgm:spPr/>
    </dgm:pt>
  </dgm:ptLst>
  <dgm:cxnLst>
    <dgm:cxn modelId="{B9956504-6E14-497C-9637-2875945F6BEE}" type="presOf" srcId="{B52B5EB3-E346-486A-BB3F-E78253FDC1E7}" destId="{A841561C-27B4-4C7B-B34E-3605C5623D7B}" srcOrd="1" destOrd="0" presId="urn:microsoft.com/office/officeart/2005/8/layout/process5"/>
    <dgm:cxn modelId="{932E850D-276E-4A23-BE12-613D978EC876}" type="presOf" srcId="{64303E9F-7174-4F2D-94BC-74E03D33709F}" destId="{487D65E0-EFBA-40B7-B682-53E348955F62}" srcOrd="0" destOrd="0" presId="urn:microsoft.com/office/officeart/2005/8/layout/process5"/>
    <dgm:cxn modelId="{3585A15B-2870-4E6D-ADCC-577EF732D563}" type="presOf" srcId="{FAB9F682-43F7-4975-945F-2E430A96A580}" destId="{301EC9FB-401F-435D-A777-778F5C7F34D7}" srcOrd="0" destOrd="0" presId="urn:microsoft.com/office/officeart/2005/8/layout/process5"/>
    <dgm:cxn modelId="{CA0F2E60-6177-4976-ACC6-297DFAA55201}" type="presOf" srcId="{A89681F8-ED9C-4372-9406-8C9A13A8DA77}" destId="{B3E659F7-DDBF-40F2-A405-AAB63397A8D0}" srcOrd="0" destOrd="0" presId="urn:microsoft.com/office/officeart/2005/8/layout/process5"/>
    <dgm:cxn modelId="{468B4543-6EF0-4AA0-94B3-A1C1A280F939}" type="presOf" srcId="{A89681F8-ED9C-4372-9406-8C9A13A8DA77}" destId="{BCA47FCE-2718-482E-8540-BDBAC0DADFFF}" srcOrd="1" destOrd="0" presId="urn:microsoft.com/office/officeart/2005/8/layout/process5"/>
    <dgm:cxn modelId="{5AC2AC48-EBC5-4BF4-BE0B-BC46536CF8F5}" srcId="{95A3776F-8721-4785-9129-CF8885DCB5B0}" destId="{69634F9C-3412-4312-BD46-FD177AA0EE85}" srcOrd="0" destOrd="0" parTransId="{7A12A97B-4120-4C32-890E-564C480E1732}" sibTransId="{A89681F8-ED9C-4372-9406-8C9A13A8DA77}"/>
    <dgm:cxn modelId="{78AD3351-5001-4ABB-B7EF-D2455CB0BB14}" srcId="{95A3776F-8721-4785-9129-CF8885DCB5B0}" destId="{5930E087-6D55-444D-98C6-DFC4FFC5A81B}" srcOrd="2" destOrd="0" parTransId="{F2763E21-8801-440C-820B-326B74146391}" sibTransId="{B52B5EB3-E346-486A-BB3F-E78253FDC1E7}"/>
    <dgm:cxn modelId="{BEF7A952-F827-4E22-B608-2E9CBBCF265F}" type="presOf" srcId="{95A3776F-8721-4785-9129-CF8885DCB5B0}" destId="{DE297261-6BEA-4A1F-8EA7-DED7A8FDC603}" srcOrd="0" destOrd="0" presId="urn:microsoft.com/office/officeart/2005/8/layout/process5"/>
    <dgm:cxn modelId="{92B11491-76E2-4AD1-AF8A-966536C1877E}" type="presOf" srcId="{E2FD144C-4EE8-4B39-B4A6-5CDEAD42B45F}" destId="{E6A035B9-3AC9-44F4-8A68-95DACB9BD85F}" srcOrd="0" destOrd="0" presId="urn:microsoft.com/office/officeart/2005/8/layout/process5"/>
    <dgm:cxn modelId="{E933C49D-04C2-4E5D-87F7-E1AAEFB2C850}" srcId="{95A3776F-8721-4785-9129-CF8885DCB5B0}" destId="{FAB9F682-43F7-4975-945F-2E430A96A580}" srcOrd="1" destOrd="0" parTransId="{6DCF6AC7-72D1-423B-AC2A-AAC0E75FB3CF}" sibTransId="{E2FD144C-4EE8-4B39-B4A6-5CDEAD42B45F}"/>
    <dgm:cxn modelId="{F22939A9-9A7F-4988-BA01-0B3CBC6A93CE}" srcId="{95A3776F-8721-4785-9129-CF8885DCB5B0}" destId="{64303E9F-7174-4F2D-94BC-74E03D33709F}" srcOrd="3" destOrd="0" parTransId="{E5969BED-416E-49FD-8EB5-1ECC62E7371E}" sibTransId="{0A83D74C-E95E-4149-86F1-CA8B13F79089}"/>
    <dgm:cxn modelId="{E9DEEAD1-8C43-4A50-8764-6AEC6361A2D8}" type="presOf" srcId="{E2FD144C-4EE8-4B39-B4A6-5CDEAD42B45F}" destId="{4A5D50C3-6A4F-431F-B72A-C6322E002C14}" srcOrd="1" destOrd="0" presId="urn:microsoft.com/office/officeart/2005/8/layout/process5"/>
    <dgm:cxn modelId="{FAA445ED-294C-4A30-AA29-C46CD4A965D6}" type="presOf" srcId="{B52B5EB3-E346-486A-BB3F-E78253FDC1E7}" destId="{EBB06D00-862F-4FE2-B5B1-D86FA34A7FF0}" srcOrd="0" destOrd="0" presId="urn:microsoft.com/office/officeart/2005/8/layout/process5"/>
    <dgm:cxn modelId="{CA8B01F7-7599-4CDF-A208-BDA4DE1C66F7}" type="presOf" srcId="{5930E087-6D55-444D-98C6-DFC4FFC5A81B}" destId="{5E4D4835-A74F-44E9-8E6A-0413D18848D3}" srcOrd="0" destOrd="0" presId="urn:microsoft.com/office/officeart/2005/8/layout/process5"/>
    <dgm:cxn modelId="{EB96F7FF-BAE9-4DD6-A673-4A41472F4A4D}" type="presOf" srcId="{69634F9C-3412-4312-BD46-FD177AA0EE85}" destId="{68BA01EC-EF97-415B-87B7-2BDAA6A33FF5}" srcOrd="0" destOrd="0" presId="urn:microsoft.com/office/officeart/2005/8/layout/process5"/>
    <dgm:cxn modelId="{04DB44F9-9107-4EE1-84B0-39295F067894}" type="presParOf" srcId="{DE297261-6BEA-4A1F-8EA7-DED7A8FDC603}" destId="{68BA01EC-EF97-415B-87B7-2BDAA6A33FF5}" srcOrd="0" destOrd="0" presId="urn:microsoft.com/office/officeart/2005/8/layout/process5"/>
    <dgm:cxn modelId="{FE3075DE-DE97-4B7C-B1A8-0BB02AB974C2}" type="presParOf" srcId="{DE297261-6BEA-4A1F-8EA7-DED7A8FDC603}" destId="{B3E659F7-DDBF-40F2-A405-AAB63397A8D0}" srcOrd="1" destOrd="0" presId="urn:microsoft.com/office/officeart/2005/8/layout/process5"/>
    <dgm:cxn modelId="{251965B2-D74A-489B-ABC0-8DAD1F7B9B17}" type="presParOf" srcId="{B3E659F7-DDBF-40F2-A405-AAB63397A8D0}" destId="{BCA47FCE-2718-482E-8540-BDBAC0DADFFF}" srcOrd="0" destOrd="0" presId="urn:microsoft.com/office/officeart/2005/8/layout/process5"/>
    <dgm:cxn modelId="{4B4C2A48-0B88-4C73-B0B6-6D8C092D1AF8}" type="presParOf" srcId="{DE297261-6BEA-4A1F-8EA7-DED7A8FDC603}" destId="{301EC9FB-401F-435D-A777-778F5C7F34D7}" srcOrd="2" destOrd="0" presId="urn:microsoft.com/office/officeart/2005/8/layout/process5"/>
    <dgm:cxn modelId="{EBF42302-4581-4C2C-9987-64AC7AEDBC90}" type="presParOf" srcId="{DE297261-6BEA-4A1F-8EA7-DED7A8FDC603}" destId="{E6A035B9-3AC9-44F4-8A68-95DACB9BD85F}" srcOrd="3" destOrd="0" presId="urn:microsoft.com/office/officeart/2005/8/layout/process5"/>
    <dgm:cxn modelId="{3B3D3872-8774-4859-B171-C106E896CDA8}" type="presParOf" srcId="{E6A035B9-3AC9-44F4-8A68-95DACB9BD85F}" destId="{4A5D50C3-6A4F-431F-B72A-C6322E002C14}" srcOrd="0" destOrd="0" presId="urn:microsoft.com/office/officeart/2005/8/layout/process5"/>
    <dgm:cxn modelId="{A3A0AE82-8C6D-417E-82D4-60373F9C119C}" type="presParOf" srcId="{DE297261-6BEA-4A1F-8EA7-DED7A8FDC603}" destId="{5E4D4835-A74F-44E9-8E6A-0413D18848D3}" srcOrd="4" destOrd="0" presId="urn:microsoft.com/office/officeart/2005/8/layout/process5"/>
    <dgm:cxn modelId="{A4813A6C-0A54-4D06-9CEE-7B8A58EA8D92}" type="presParOf" srcId="{DE297261-6BEA-4A1F-8EA7-DED7A8FDC603}" destId="{EBB06D00-862F-4FE2-B5B1-D86FA34A7FF0}" srcOrd="5" destOrd="0" presId="urn:microsoft.com/office/officeart/2005/8/layout/process5"/>
    <dgm:cxn modelId="{BCDEB323-2DC3-4BBD-A68D-37B1E3920117}" type="presParOf" srcId="{EBB06D00-862F-4FE2-B5B1-D86FA34A7FF0}" destId="{A841561C-27B4-4C7B-B34E-3605C5623D7B}" srcOrd="0" destOrd="0" presId="urn:microsoft.com/office/officeart/2005/8/layout/process5"/>
    <dgm:cxn modelId="{9EE262CB-6E36-4575-8E13-EF18F84A20CB}" type="presParOf" srcId="{DE297261-6BEA-4A1F-8EA7-DED7A8FDC603}" destId="{487D65E0-EFBA-40B7-B682-53E348955F62}" srcOrd="6" destOrd="0" presId="urn:microsoft.com/office/officeart/2005/8/layout/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A01EC-EF97-415B-87B7-2BDAA6A33FF5}">
      <dsp:nvSpPr>
        <dsp:cNvPr id="0" name=""/>
        <dsp:cNvSpPr/>
      </dsp:nvSpPr>
      <dsp:spPr>
        <a:xfrm>
          <a:off x="444789" y="87"/>
          <a:ext cx="1602075" cy="9612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a:ea typeface="+mn-ea"/>
              <a:cs typeface="+mn-cs"/>
            </a:rPr>
            <a:t>Most relevant stakeholder to report business to Lloyd’s via monthly  risk bordereaux submission</a:t>
          </a:r>
        </a:p>
      </dsp:txBody>
      <dsp:txXfrm>
        <a:off x="472943" y="28241"/>
        <a:ext cx="1545767" cy="904937"/>
      </dsp:txXfrm>
    </dsp:sp>
    <dsp:sp modelId="{B3E659F7-DDBF-40F2-A405-AAB63397A8D0}">
      <dsp:nvSpPr>
        <dsp:cNvPr id="0" name=""/>
        <dsp:cNvSpPr/>
      </dsp:nvSpPr>
      <dsp:spPr>
        <a:xfrm>
          <a:off x="2187847" y="282052"/>
          <a:ext cx="339639" cy="39731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Calibri"/>
            <a:ea typeface="+mn-ea"/>
            <a:cs typeface="+mn-cs"/>
          </a:endParaRPr>
        </a:p>
      </dsp:txBody>
      <dsp:txXfrm>
        <a:off x="2187847" y="361515"/>
        <a:ext cx="237747" cy="238388"/>
      </dsp:txXfrm>
    </dsp:sp>
    <dsp:sp modelId="{301EC9FB-401F-435D-A777-778F5C7F34D7}">
      <dsp:nvSpPr>
        <dsp:cNvPr id="0" name=""/>
        <dsp:cNvSpPr/>
      </dsp:nvSpPr>
      <dsp:spPr>
        <a:xfrm>
          <a:off x="2687695" y="87"/>
          <a:ext cx="1602075" cy="9612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a:ea typeface="+mn-ea"/>
              <a:cs typeface="+mn-cs"/>
            </a:rPr>
            <a:t>Lloyd’s to collate the risk bordereaux information to calculate the levy payment due from each syndicate</a:t>
          </a:r>
        </a:p>
      </dsp:txBody>
      <dsp:txXfrm>
        <a:off x="2715849" y="28241"/>
        <a:ext cx="1545767" cy="904937"/>
      </dsp:txXfrm>
    </dsp:sp>
    <dsp:sp modelId="{E6A035B9-3AC9-44F4-8A68-95DACB9BD85F}">
      <dsp:nvSpPr>
        <dsp:cNvPr id="0" name=""/>
        <dsp:cNvSpPr/>
      </dsp:nvSpPr>
      <dsp:spPr>
        <a:xfrm rot="5400000">
          <a:off x="3318912" y="1073477"/>
          <a:ext cx="339639" cy="39731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Calibri"/>
            <a:ea typeface="+mn-ea"/>
            <a:cs typeface="+mn-cs"/>
          </a:endParaRPr>
        </a:p>
      </dsp:txBody>
      <dsp:txXfrm rot="-5400000">
        <a:off x="3369538" y="1102314"/>
        <a:ext cx="238388" cy="237747"/>
      </dsp:txXfrm>
    </dsp:sp>
    <dsp:sp modelId="{5E4D4835-A74F-44E9-8E6A-0413D18848D3}">
      <dsp:nvSpPr>
        <dsp:cNvPr id="0" name=""/>
        <dsp:cNvSpPr/>
      </dsp:nvSpPr>
      <dsp:spPr>
        <a:xfrm>
          <a:off x="2687695" y="1602162"/>
          <a:ext cx="1602075" cy="9612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a:ea typeface="+mn-ea"/>
              <a:cs typeface="+mn-cs"/>
            </a:rPr>
            <a:t>Lloyd’s to centrally collect the levy amount from the lead and following syndicates</a:t>
          </a:r>
        </a:p>
      </dsp:txBody>
      <dsp:txXfrm>
        <a:off x="2715849" y="1630316"/>
        <a:ext cx="1545767" cy="904937"/>
      </dsp:txXfrm>
    </dsp:sp>
    <dsp:sp modelId="{EBB06D00-862F-4FE2-B5B1-D86FA34A7FF0}">
      <dsp:nvSpPr>
        <dsp:cNvPr id="0" name=""/>
        <dsp:cNvSpPr/>
      </dsp:nvSpPr>
      <dsp:spPr>
        <a:xfrm rot="10800000">
          <a:off x="2207072" y="1884127"/>
          <a:ext cx="339639" cy="39731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Calibri"/>
            <a:ea typeface="+mn-ea"/>
            <a:cs typeface="+mn-cs"/>
          </a:endParaRPr>
        </a:p>
      </dsp:txBody>
      <dsp:txXfrm rot="10800000">
        <a:off x="2308964" y="1963590"/>
        <a:ext cx="237747" cy="238388"/>
      </dsp:txXfrm>
    </dsp:sp>
    <dsp:sp modelId="{487D65E0-EFBA-40B7-B682-53E348955F62}">
      <dsp:nvSpPr>
        <dsp:cNvPr id="0" name=""/>
        <dsp:cNvSpPr/>
      </dsp:nvSpPr>
      <dsp:spPr>
        <a:xfrm>
          <a:off x="444789" y="1602162"/>
          <a:ext cx="1602075" cy="9612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100" kern="1200" dirty="0">
              <a:solidFill>
                <a:sysClr val="window" lastClr="FFFFFF"/>
              </a:solidFill>
              <a:latin typeface="Calibri"/>
              <a:ea typeface="+mn-ea"/>
              <a:cs typeface="+mn-cs"/>
            </a:rPr>
            <a:t>Lloyd’s will report and pay the total levy amount to the Insurance Authority</a:t>
          </a:r>
        </a:p>
      </dsp:txBody>
      <dsp:txXfrm>
        <a:off x="472943" y="1630316"/>
        <a:ext cx="1545767" cy="90493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15148-7006-42B1-B959-FA7613DFF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 Portrait - White - Full width - Numbered</Template>
  <TotalTime>5</TotalTime>
  <Pages>8</Pages>
  <Words>2554</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Report</vt:lpstr>
    </vt:vector>
  </TitlesOfParts>
  <Company>Lloyd's</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Hong Kong Insurance Authority: IA Levy</dc:subject>
  <dc:creator>Adam Cable</dc:creator>
  <cp:lastModifiedBy>Chaggar, Amrit</cp:lastModifiedBy>
  <cp:revision>6</cp:revision>
  <cp:lastPrinted>2019-03-19T01:55:00Z</cp:lastPrinted>
  <dcterms:created xsi:type="dcterms:W3CDTF">2019-03-19T01:54:00Z</dcterms:created>
  <dcterms:modified xsi:type="dcterms:W3CDTF">2019-04-25T15:24:00Z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ChaggarA@lloyds.com</vt:lpwstr>
  </property>
  <property fmtid="{D5CDD505-2E9C-101B-9397-08002B2CF9AE}" pid="5" name="MSIP_Label_b3b4ac1b-ad46-41e5-bbef-cfcc59b99d32_SetDate">
    <vt:lpwstr>2018-11-26T12:20:35.3278117Z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ies>
</file>