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75" w:rsidRPr="00137C3E" w:rsidRDefault="00137C3E" w:rsidP="002E6875">
      <w:pPr>
        <w:spacing w:after="120"/>
        <w:rPr>
          <w:rFonts w:ascii="Sansa Lloyds" w:hAnsi="Sansa Lloyds" w:cs="Arial"/>
          <w:b/>
          <w:color w:val="D4470F"/>
          <w:sz w:val="32"/>
          <w:szCs w:val="24"/>
        </w:rPr>
      </w:pPr>
      <w:bookmarkStart w:id="0" w:name="_GoBack"/>
      <w:r w:rsidRPr="00137C3E">
        <w:rPr>
          <w:rFonts w:ascii="Sansa Lloyds" w:hAnsi="Sansa Lloyds" w:cs="Arial"/>
          <w:b/>
          <w:color w:val="D4470F"/>
          <w:sz w:val="28"/>
          <w:szCs w:val="24"/>
        </w:rPr>
        <w:t>C</w:t>
      </w:r>
      <w:r w:rsidR="001B2908" w:rsidRPr="00137C3E">
        <w:rPr>
          <w:rFonts w:ascii="Sansa Lloyds" w:hAnsi="Sansa Lloyds" w:cs="Arial"/>
          <w:b/>
          <w:color w:val="D4470F"/>
          <w:sz w:val="28"/>
          <w:szCs w:val="24"/>
        </w:rPr>
        <w:t xml:space="preserve">onfirmation </w:t>
      </w:r>
      <w:r w:rsidRPr="00137C3E">
        <w:rPr>
          <w:rFonts w:ascii="Sansa Lloyds" w:hAnsi="Sansa Lloyds" w:cs="Arial"/>
          <w:b/>
          <w:color w:val="D4470F"/>
          <w:sz w:val="28"/>
          <w:szCs w:val="24"/>
        </w:rPr>
        <w:t>o</w:t>
      </w:r>
      <w:r w:rsidR="001B2908" w:rsidRPr="00137C3E">
        <w:rPr>
          <w:rFonts w:ascii="Sansa Lloyds" w:hAnsi="Sansa Lloyds" w:cs="Arial"/>
          <w:b/>
          <w:color w:val="D4470F"/>
          <w:sz w:val="28"/>
          <w:szCs w:val="24"/>
        </w:rPr>
        <w:t>f</w:t>
      </w:r>
      <w:r w:rsidR="00077ED4" w:rsidRPr="00137C3E">
        <w:rPr>
          <w:rFonts w:ascii="Sansa Lloyds" w:hAnsi="Sansa Lloyds" w:cs="Arial"/>
          <w:b/>
          <w:color w:val="D4470F"/>
          <w:sz w:val="28"/>
          <w:szCs w:val="24"/>
        </w:rPr>
        <w:t xml:space="preserve"> </w:t>
      </w:r>
      <w:r w:rsidRPr="00137C3E">
        <w:rPr>
          <w:rFonts w:ascii="Sansa Lloyds" w:hAnsi="Sansa Lloyds" w:cs="Arial"/>
          <w:b/>
          <w:color w:val="D4470F"/>
          <w:sz w:val="28"/>
          <w:szCs w:val="24"/>
        </w:rPr>
        <w:t>S</w:t>
      </w:r>
      <w:r w:rsidR="00077ED4" w:rsidRPr="00137C3E">
        <w:rPr>
          <w:rFonts w:ascii="Sansa Lloyds" w:hAnsi="Sansa Lloyds" w:cs="Arial"/>
          <w:b/>
          <w:color w:val="D4470F"/>
          <w:sz w:val="28"/>
          <w:szCs w:val="24"/>
        </w:rPr>
        <w:t xml:space="preserve">tatus </w:t>
      </w:r>
      <w:r w:rsidRPr="00137C3E">
        <w:rPr>
          <w:rFonts w:ascii="Sansa Lloyds" w:hAnsi="Sansa Lloyds" w:cs="Arial"/>
          <w:b/>
          <w:color w:val="D4470F"/>
          <w:sz w:val="28"/>
          <w:szCs w:val="24"/>
        </w:rPr>
        <w:t>a</w:t>
      </w:r>
      <w:r w:rsidR="00077ED4" w:rsidRPr="00137C3E">
        <w:rPr>
          <w:rFonts w:ascii="Sansa Lloyds" w:hAnsi="Sansa Lloyds" w:cs="Arial"/>
          <w:b/>
          <w:color w:val="D4470F"/>
          <w:sz w:val="28"/>
          <w:szCs w:val="24"/>
        </w:rPr>
        <w:t xml:space="preserve">nd </w:t>
      </w:r>
      <w:r w:rsidRPr="00137C3E">
        <w:rPr>
          <w:rFonts w:ascii="Sansa Lloyds" w:hAnsi="Sansa Lloyds" w:cs="Arial"/>
          <w:b/>
          <w:color w:val="D4470F"/>
          <w:sz w:val="28"/>
          <w:szCs w:val="24"/>
        </w:rPr>
        <w:t>E</w:t>
      </w:r>
      <w:r w:rsidR="00077ED4" w:rsidRPr="00137C3E">
        <w:rPr>
          <w:rFonts w:ascii="Sansa Lloyds" w:hAnsi="Sansa Lloyds" w:cs="Arial"/>
          <w:b/>
          <w:color w:val="D4470F"/>
          <w:sz w:val="28"/>
          <w:szCs w:val="24"/>
        </w:rPr>
        <w:t>xceptions</w:t>
      </w:r>
      <w:r w:rsidR="00125A74" w:rsidRPr="00137C3E">
        <w:rPr>
          <w:rFonts w:ascii="Sansa Lloyds" w:hAnsi="Sansa Lloyds" w:cs="Arial"/>
          <w:b/>
          <w:color w:val="D4470F"/>
          <w:sz w:val="28"/>
          <w:szCs w:val="24"/>
        </w:rPr>
        <w:t xml:space="preserve"> </w:t>
      </w:r>
      <w:r w:rsidR="00125A74" w:rsidRPr="00137C3E">
        <w:rPr>
          <w:rFonts w:ascii="Sansa Lloyds" w:hAnsi="Sansa Lloyds" w:cs="Arial"/>
          <w:b/>
          <w:color w:val="D4470F"/>
          <w:sz w:val="28"/>
        </w:rPr>
        <w:t>template (5 October submission)</w:t>
      </w:r>
      <w:r w:rsidR="00077ED4" w:rsidRPr="00137C3E">
        <w:rPr>
          <w:rFonts w:ascii="Sansa Lloyds" w:hAnsi="Sansa Lloyds" w:cs="Arial"/>
          <w:b/>
          <w:color w:val="D4470F"/>
          <w:sz w:val="32"/>
          <w:szCs w:val="24"/>
        </w:rPr>
        <w:t xml:space="preserve"> </w:t>
      </w:r>
      <w:r w:rsidR="002E6875" w:rsidRPr="00137C3E">
        <w:rPr>
          <w:rFonts w:ascii="Sansa Lloyds" w:hAnsi="Sansa Lloyds" w:cs="Arial"/>
          <w:b/>
          <w:color w:val="D4470F"/>
          <w:sz w:val="32"/>
          <w:szCs w:val="24"/>
        </w:rPr>
        <w:tab/>
      </w:r>
      <w:r w:rsidR="002E6875" w:rsidRPr="00137C3E">
        <w:rPr>
          <w:rFonts w:ascii="Sansa Lloyds" w:hAnsi="Sansa Lloyds" w:cs="Arial"/>
          <w:b/>
          <w:color w:val="D4470F"/>
          <w:sz w:val="32"/>
          <w:szCs w:val="24"/>
        </w:rPr>
        <w:tab/>
      </w:r>
      <w:bookmarkEnd w:id="0"/>
      <w:r w:rsidR="002E6875" w:rsidRPr="00137C3E">
        <w:rPr>
          <w:rFonts w:ascii="Sansa Lloyds" w:hAnsi="Sansa Lloyds" w:cs="Arial"/>
          <w:b/>
          <w:color w:val="D4470F"/>
          <w:sz w:val="32"/>
          <w:szCs w:val="24"/>
        </w:rPr>
        <w:tab/>
      </w:r>
      <w:r w:rsidR="002E6875" w:rsidRPr="00137C3E">
        <w:rPr>
          <w:rFonts w:ascii="Sansa Lloyds" w:hAnsi="Sansa Lloyds" w:cs="Arial"/>
          <w:b/>
          <w:color w:val="D4470F"/>
          <w:sz w:val="32"/>
          <w:szCs w:val="24"/>
        </w:rPr>
        <w:tab/>
      </w:r>
    </w:p>
    <w:p w:rsidR="00582CE6" w:rsidRPr="00350778" w:rsidRDefault="001B2908">
      <w:pPr>
        <w:rPr>
          <w:rFonts w:ascii="Sansa Lloyds" w:hAnsi="Sansa Lloyds" w:cs="Arial"/>
          <w:b/>
          <w:sz w:val="24"/>
          <w:szCs w:val="24"/>
        </w:rPr>
      </w:pPr>
      <w:r w:rsidRPr="00350778">
        <w:rPr>
          <w:rFonts w:ascii="Sansa Lloyds" w:hAnsi="Sansa Lloyds" w:cs="Arial"/>
          <w:b/>
          <w:sz w:val="24"/>
          <w:szCs w:val="24"/>
        </w:rPr>
        <w:t>Section 1</w:t>
      </w:r>
      <w:r w:rsidR="00350778">
        <w:rPr>
          <w:rFonts w:ascii="Sansa Lloyds" w:hAnsi="Sansa Lloyds" w:cs="Arial"/>
          <w:b/>
          <w:sz w:val="24"/>
          <w:szCs w:val="24"/>
        </w:rPr>
        <w:t xml:space="preserve"> – evidence templates</w:t>
      </w:r>
    </w:p>
    <w:p w:rsidR="00700A2D" w:rsidRDefault="00700A2D" w:rsidP="00700A2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</w:t>
      </w:r>
      <w:r w:rsidR="00350778">
        <w:rPr>
          <w:rFonts w:ascii="Arial" w:hAnsi="Arial" w:cs="Arial"/>
          <w:sz w:val="20"/>
          <w:szCs w:val="20"/>
        </w:rPr>
        <w:t>onfirm that</w:t>
      </w:r>
      <w:r>
        <w:rPr>
          <w:rFonts w:ascii="Arial" w:hAnsi="Arial" w:cs="Arial"/>
          <w:sz w:val="20"/>
          <w:szCs w:val="20"/>
        </w:rPr>
        <w:t>:</w:t>
      </w:r>
    </w:p>
    <w:p w:rsidR="00700A2D" w:rsidRDefault="00700A2D" w:rsidP="00700A2D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700A2D">
        <w:rPr>
          <w:rFonts w:ascii="Arial" w:hAnsi="Arial" w:cs="Arial"/>
          <w:sz w:val="20"/>
          <w:szCs w:val="20"/>
        </w:rPr>
        <w:t xml:space="preserve">the table below </w:t>
      </w:r>
      <w:r w:rsidR="00845F4A">
        <w:rPr>
          <w:rFonts w:ascii="Arial" w:hAnsi="Arial" w:cs="Arial"/>
          <w:sz w:val="20"/>
          <w:szCs w:val="20"/>
        </w:rPr>
        <w:t xml:space="preserve">properly </w:t>
      </w:r>
      <w:r w:rsidRPr="00700A2D">
        <w:rPr>
          <w:rFonts w:ascii="Arial" w:hAnsi="Arial" w:cs="Arial"/>
          <w:sz w:val="20"/>
          <w:szCs w:val="20"/>
        </w:rPr>
        <w:t>reflects the current status of our Evidence Templates</w:t>
      </w:r>
    </w:p>
    <w:p w:rsidR="00700A2D" w:rsidRDefault="00700A2D" w:rsidP="00700A2D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700A2D">
        <w:rPr>
          <w:rFonts w:ascii="Arial" w:hAnsi="Arial" w:cs="Arial"/>
          <w:sz w:val="20"/>
          <w:szCs w:val="20"/>
        </w:rPr>
        <w:t xml:space="preserve">all Evidence Templates reflect the approach </w:t>
      </w:r>
      <w:r w:rsidR="00845F4A">
        <w:rPr>
          <w:rFonts w:ascii="Arial" w:hAnsi="Arial" w:cs="Arial"/>
          <w:sz w:val="20"/>
          <w:szCs w:val="20"/>
        </w:rPr>
        <w:t xml:space="preserve">currently being </w:t>
      </w:r>
      <w:r w:rsidRPr="00700A2D">
        <w:rPr>
          <w:rFonts w:ascii="Arial" w:hAnsi="Arial" w:cs="Arial"/>
          <w:sz w:val="20"/>
          <w:szCs w:val="20"/>
        </w:rPr>
        <w:t xml:space="preserve">taken to meeting the </w:t>
      </w:r>
      <w:r w:rsidR="00845F4A">
        <w:rPr>
          <w:rFonts w:ascii="Arial" w:hAnsi="Arial" w:cs="Arial"/>
          <w:sz w:val="20"/>
          <w:szCs w:val="20"/>
        </w:rPr>
        <w:t xml:space="preserve">relevant Solvency II </w:t>
      </w:r>
      <w:r w:rsidRPr="00700A2D">
        <w:rPr>
          <w:rFonts w:ascii="Arial" w:hAnsi="Arial" w:cs="Arial"/>
          <w:sz w:val="20"/>
          <w:szCs w:val="20"/>
        </w:rPr>
        <w:t>te</w:t>
      </w:r>
      <w:r w:rsidR="00845F4A">
        <w:rPr>
          <w:rFonts w:ascii="Arial" w:hAnsi="Arial" w:cs="Arial"/>
          <w:sz w:val="20"/>
          <w:szCs w:val="20"/>
        </w:rPr>
        <w:t>s</w:t>
      </w:r>
      <w:r w:rsidRPr="00700A2D">
        <w:rPr>
          <w:rFonts w:ascii="Arial" w:hAnsi="Arial" w:cs="Arial"/>
          <w:sz w:val="20"/>
          <w:szCs w:val="20"/>
        </w:rPr>
        <w:t>ts and sta</w:t>
      </w:r>
      <w:r w:rsidR="00845F4A">
        <w:rPr>
          <w:rFonts w:ascii="Arial" w:hAnsi="Arial" w:cs="Arial"/>
          <w:sz w:val="20"/>
          <w:szCs w:val="20"/>
        </w:rPr>
        <w:t>n</w:t>
      </w:r>
      <w:r w:rsidRPr="00700A2D">
        <w:rPr>
          <w:rFonts w:ascii="Arial" w:hAnsi="Arial" w:cs="Arial"/>
          <w:sz w:val="20"/>
          <w:szCs w:val="20"/>
        </w:rPr>
        <w:t>dards</w:t>
      </w:r>
    </w:p>
    <w:p w:rsidR="00FD317F" w:rsidRDefault="00700A2D" w:rsidP="00845F4A">
      <w:pPr>
        <w:pStyle w:val="ListParagraph"/>
        <w:numPr>
          <w:ilvl w:val="0"/>
          <w:numId w:val="2"/>
        </w:numPr>
        <w:spacing w:after="240"/>
        <w:ind w:left="77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evidence listed </w:t>
      </w:r>
      <w:r w:rsidR="00845F4A">
        <w:rPr>
          <w:rFonts w:ascii="Arial" w:hAnsi="Arial" w:cs="Arial"/>
          <w:sz w:val="20"/>
          <w:szCs w:val="20"/>
        </w:rPr>
        <w:t xml:space="preserve">in the templates </w:t>
      </w:r>
      <w:r>
        <w:rPr>
          <w:rFonts w:ascii="Arial" w:hAnsi="Arial" w:cs="Arial"/>
          <w:sz w:val="20"/>
          <w:szCs w:val="20"/>
        </w:rPr>
        <w:t xml:space="preserve">is in place and </w:t>
      </w:r>
      <w:r w:rsidR="00845F4A">
        <w:rPr>
          <w:rFonts w:ascii="Arial" w:hAnsi="Arial" w:cs="Arial"/>
          <w:sz w:val="20"/>
          <w:szCs w:val="20"/>
        </w:rPr>
        <w:t xml:space="preserve">immediately </w:t>
      </w:r>
      <w:r>
        <w:rPr>
          <w:rFonts w:ascii="Arial" w:hAnsi="Arial" w:cs="Arial"/>
          <w:sz w:val="20"/>
          <w:szCs w:val="20"/>
        </w:rPr>
        <w:t>available for Lloyd’s</w:t>
      </w:r>
      <w:r w:rsidR="00845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</w:t>
      </w:r>
      <w:r w:rsidR="00845F4A">
        <w:rPr>
          <w:rFonts w:ascii="Arial" w:hAnsi="Arial" w:cs="Arial"/>
          <w:sz w:val="20"/>
          <w:szCs w:val="20"/>
        </w:rPr>
        <w:t xml:space="preserve"> if required</w:t>
      </w:r>
      <w:r>
        <w:rPr>
          <w:rFonts w:ascii="Arial" w:hAnsi="Arial" w:cs="Arial"/>
          <w:sz w:val="20"/>
          <w:szCs w:val="20"/>
        </w:rPr>
        <w:t xml:space="preserve"> </w:t>
      </w:r>
      <w:r w:rsidRPr="00700A2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3969"/>
      </w:tblGrid>
      <w:tr w:rsidR="00445AFC" w:rsidRPr="00445AFC" w:rsidTr="004F61E2">
        <w:tc>
          <w:tcPr>
            <w:tcW w:w="2376" w:type="dxa"/>
          </w:tcPr>
          <w:p w:rsidR="00445AFC" w:rsidRPr="00241EBB" w:rsidRDefault="00445AFC" w:rsidP="00445AFC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 w:rsidRPr="00241EBB">
              <w:rPr>
                <w:rFonts w:ascii="Sansa Lloyds" w:hAnsi="Sansa Lloyds" w:cs="Arial"/>
                <w:sz w:val="20"/>
                <w:szCs w:val="20"/>
              </w:rPr>
              <w:t>Workstream</w:t>
            </w:r>
          </w:p>
        </w:tc>
        <w:tc>
          <w:tcPr>
            <w:tcW w:w="3402" w:type="dxa"/>
          </w:tcPr>
          <w:p w:rsidR="00445AFC" w:rsidRPr="00241EBB" w:rsidRDefault="00971339" w:rsidP="00971339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>
              <w:rPr>
                <w:rFonts w:ascii="Sansa Lloyds" w:hAnsi="Sansa Lloyds" w:cs="Arial"/>
                <w:sz w:val="20"/>
                <w:szCs w:val="20"/>
              </w:rPr>
              <w:t>Evidence Template complete</w:t>
            </w:r>
            <w:r w:rsidR="00445AFC" w:rsidRPr="00241EBB">
              <w:rPr>
                <w:rFonts w:ascii="Sansa Lloyds" w:hAnsi="Sansa Lloyds" w:cs="Arial"/>
                <w:sz w:val="20"/>
                <w:szCs w:val="20"/>
              </w:rPr>
              <w:t xml:space="preserve"> </w:t>
            </w:r>
            <w:r w:rsidR="00350778" w:rsidRPr="00350778">
              <w:rPr>
                <w:rFonts w:ascii="Arial" w:hAnsi="Arial" w:cs="Arial"/>
                <w:i/>
                <w:sz w:val="18"/>
                <w:szCs w:val="20"/>
              </w:rPr>
              <w:t>(1)</w:t>
            </w:r>
          </w:p>
        </w:tc>
        <w:tc>
          <w:tcPr>
            <w:tcW w:w="3544" w:type="dxa"/>
          </w:tcPr>
          <w:p w:rsidR="00445AFC" w:rsidRPr="00241EBB" w:rsidRDefault="00971339" w:rsidP="00971339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>
              <w:rPr>
                <w:rFonts w:ascii="Sansa Lloyds" w:hAnsi="Sansa Lloyds" w:cs="Arial"/>
                <w:sz w:val="20"/>
                <w:szCs w:val="20"/>
              </w:rPr>
              <w:t>Lloyd’s agreed Green Rating</w:t>
            </w:r>
            <w:r w:rsidR="00350778">
              <w:rPr>
                <w:rFonts w:ascii="Sansa Lloyds" w:hAnsi="Sansa Lloyds" w:cs="Arial"/>
                <w:sz w:val="20"/>
                <w:szCs w:val="20"/>
              </w:rPr>
              <w:t xml:space="preserve"> </w:t>
            </w:r>
            <w:r w:rsidR="00350778">
              <w:rPr>
                <w:rFonts w:ascii="Arial" w:hAnsi="Arial" w:cs="Arial"/>
                <w:i/>
                <w:sz w:val="18"/>
                <w:szCs w:val="20"/>
              </w:rPr>
              <w:t>(2</w:t>
            </w:r>
            <w:r w:rsidR="00350778" w:rsidRPr="0035077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3969" w:type="dxa"/>
          </w:tcPr>
          <w:p w:rsidR="00445AFC" w:rsidRPr="00241EBB" w:rsidRDefault="00445AFC" w:rsidP="00445AFC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 w:rsidRPr="00241EBB">
              <w:rPr>
                <w:rFonts w:ascii="Sansa Lloyds" w:hAnsi="Sansa Lloyds" w:cs="Arial"/>
                <w:sz w:val="20"/>
                <w:szCs w:val="20"/>
              </w:rPr>
              <w:t>Agent Status Report Reference for work outstanding:</w:t>
            </w:r>
            <w:r w:rsidR="00350778">
              <w:rPr>
                <w:rFonts w:ascii="Sansa Lloyds" w:hAnsi="Sansa Lloyds" w:cs="Arial"/>
                <w:sz w:val="20"/>
                <w:szCs w:val="20"/>
              </w:rPr>
              <w:t xml:space="preserve"> </w:t>
            </w:r>
            <w:r w:rsidR="00350778">
              <w:rPr>
                <w:rFonts w:ascii="Arial" w:hAnsi="Arial" w:cs="Arial"/>
                <w:i/>
                <w:sz w:val="18"/>
                <w:szCs w:val="20"/>
              </w:rPr>
              <w:t>(3</w:t>
            </w:r>
            <w:r w:rsidR="00350778" w:rsidRPr="0035077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445AFC" w:rsidRPr="00445AFC" w:rsidTr="00971339">
        <w:trPr>
          <w:trHeight w:val="567"/>
        </w:trPr>
        <w:tc>
          <w:tcPr>
            <w:tcW w:w="2376" w:type="dxa"/>
            <w:shd w:val="clear" w:color="auto" w:fill="6EC9E0"/>
            <w:vAlign w:val="center"/>
          </w:tcPr>
          <w:p w:rsidR="00445AFC" w:rsidRPr="002537F8" w:rsidRDefault="00445AFC" w:rsidP="00C56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Internal Model SCR</w:t>
            </w:r>
          </w:p>
        </w:tc>
        <w:tc>
          <w:tcPr>
            <w:tcW w:w="3402" w:type="dxa"/>
            <w:vAlign w:val="center"/>
          </w:tcPr>
          <w:p w:rsidR="00445AFC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445AFC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445AFC" w:rsidRPr="00845F4A" w:rsidRDefault="00845F4A" w:rsidP="00845F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 xml:space="preserve">(enter </w:t>
            </w:r>
            <w:r w:rsidR="006D67FF" w:rsidRPr="00845F4A">
              <w:rPr>
                <w:rFonts w:ascii="Arial" w:hAnsi="Arial" w:cs="Arial"/>
                <w:i/>
                <w:sz w:val="20"/>
                <w:szCs w:val="20"/>
              </w:rPr>
              <w:t>IMSCR001</w:t>
            </w:r>
            <w:r w:rsidRPr="00845F4A">
              <w:rPr>
                <w:rFonts w:ascii="Arial" w:hAnsi="Arial" w:cs="Arial"/>
                <w:i/>
                <w:sz w:val="20"/>
                <w:szCs w:val="20"/>
              </w:rPr>
              <w:t xml:space="preserve"> or n/a)</w:t>
            </w:r>
          </w:p>
        </w:tc>
      </w:tr>
      <w:tr w:rsidR="00971339" w:rsidRPr="00445AFC" w:rsidTr="002E6875">
        <w:trPr>
          <w:trHeight w:val="567"/>
        </w:trPr>
        <w:tc>
          <w:tcPr>
            <w:tcW w:w="2376" w:type="dxa"/>
            <w:shd w:val="clear" w:color="auto" w:fill="9E4770"/>
            <w:vAlign w:val="center"/>
          </w:tcPr>
          <w:p w:rsidR="00971339" w:rsidRPr="002537F8" w:rsidRDefault="00971339" w:rsidP="00C56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Valuation &amp; Balance Sheet</w:t>
            </w:r>
          </w:p>
        </w:tc>
        <w:tc>
          <w:tcPr>
            <w:tcW w:w="3402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971339" w:rsidRPr="00350778" w:rsidRDefault="00971339" w:rsidP="0084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>(enter VBS001 or n/a)</w:t>
            </w:r>
          </w:p>
        </w:tc>
      </w:tr>
      <w:tr w:rsidR="00971339" w:rsidRPr="00445AFC" w:rsidTr="002E6875">
        <w:trPr>
          <w:trHeight w:val="567"/>
        </w:trPr>
        <w:tc>
          <w:tcPr>
            <w:tcW w:w="2376" w:type="dxa"/>
            <w:shd w:val="clear" w:color="auto" w:fill="FF9900"/>
            <w:vAlign w:val="center"/>
          </w:tcPr>
          <w:p w:rsidR="00971339" w:rsidRPr="002537F8" w:rsidRDefault="00971339" w:rsidP="00C56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Technical Provisions &amp; Standard Formula</w:t>
            </w:r>
          </w:p>
        </w:tc>
        <w:tc>
          <w:tcPr>
            <w:tcW w:w="3402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971339" w:rsidRPr="00350778" w:rsidRDefault="00971339" w:rsidP="0084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 xml:space="preserve"> (enter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TPSF</w:t>
            </w:r>
            <w:r w:rsidRPr="00845F4A">
              <w:rPr>
                <w:rFonts w:ascii="Arial" w:hAnsi="Arial" w:cs="Arial"/>
                <w:i/>
                <w:sz w:val="20"/>
                <w:szCs w:val="20"/>
              </w:rPr>
              <w:t>001 or n/a)</w:t>
            </w:r>
          </w:p>
        </w:tc>
      </w:tr>
      <w:tr w:rsidR="00971339" w:rsidRPr="00445AFC" w:rsidTr="002E6875">
        <w:trPr>
          <w:trHeight w:val="567"/>
        </w:trPr>
        <w:tc>
          <w:tcPr>
            <w:tcW w:w="2376" w:type="dxa"/>
            <w:shd w:val="clear" w:color="auto" w:fill="9EA900"/>
            <w:vAlign w:val="center"/>
          </w:tcPr>
          <w:p w:rsidR="00971339" w:rsidRPr="002537F8" w:rsidRDefault="00971339" w:rsidP="00C56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Model Validation</w:t>
            </w:r>
          </w:p>
        </w:tc>
        <w:tc>
          <w:tcPr>
            <w:tcW w:w="3402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971339" w:rsidRPr="00350778" w:rsidRDefault="00971339" w:rsidP="0084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>(enter M</w:t>
            </w:r>
            <w:r>
              <w:rPr>
                <w:rFonts w:ascii="Arial" w:hAnsi="Arial" w:cs="Arial"/>
                <w:i/>
                <w:sz w:val="20"/>
                <w:szCs w:val="20"/>
              </w:rPr>
              <w:t>VAL</w:t>
            </w:r>
            <w:r w:rsidRPr="00845F4A">
              <w:rPr>
                <w:rFonts w:ascii="Arial" w:hAnsi="Arial" w:cs="Arial"/>
                <w:i/>
                <w:sz w:val="20"/>
                <w:szCs w:val="20"/>
              </w:rPr>
              <w:t>001 or n/a)</w:t>
            </w:r>
          </w:p>
        </w:tc>
      </w:tr>
      <w:tr w:rsidR="00971339" w:rsidRPr="00445AFC" w:rsidTr="002E6875">
        <w:trPr>
          <w:trHeight w:val="567"/>
        </w:trPr>
        <w:tc>
          <w:tcPr>
            <w:tcW w:w="2376" w:type="dxa"/>
            <w:shd w:val="clear" w:color="auto" w:fill="007EA3"/>
            <w:vAlign w:val="center"/>
          </w:tcPr>
          <w:p w:rsidR="00971339" w:rsidRPr="002537F8" w:rsidRDefault="00971339" w:rsidP="00C5668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7EA3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7EA3"/>
              </w:rPr>
              <w:t>Governance Risk Management &amp; Use</w:t>
            </w:r>
          </w:p>
        </w:tc>
        <w:tc>
          <w:tcPr>
            <w:tcW w:w="3402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971339" w:rsidRPr="00350778" w:rsidRDefault="00971339" w:rsidP="0084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 xml:space="preserve"> (enter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GRMU</w:t>
            </w:r>
            <w:r w:rsidRPr="00845F4A">
              <w:rPr>
                <w:rFonts w:ascii="Arial" w:hAnsi="Arial" w:cs="Arial"/>
                <w:i/>
                <w:sz w:val="20"/>
                <w:szCs w:val="20"/>
              </w:rPr>
              <w:t>001 or n/a)</w:t>
            </w:r>
          </w:p>
        </w:tc>
      </w:tr>
      <w:tr w:rsidR="00971339" w:rsidRPr="00445AFC" w:rsidTr="002E6875">
        <w:trPr>
          <w:trHeight w:val="567"/>
        </w:trPr>
        <w:tc>
          <w:tcPr>
            <w:tcW w:w="2376" w:type="dxa"/>
            <w:shd w:val="clear" w:color="auto" w:fill="DECC12"/>
            <w:vAlign w:val="center"/>
          </w:tcPr>
          <w:p w:rsidR="00971339" w:rsidRPr="002537F8" w:rsidRDefault="00971339" w:rsidP="00C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sz w:val="20"/>
                <w:szCs w:val="20"/>
              </w:rPr>
              <w:t>Supervisory Reporting &amp; Disclosure</w:t>
            </w:r>
          </w:p>
        </w:tc>
        <w:tc>
          <w:tcPr>
            <w:tcW w:w="3402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971339" w:rsidRPr="00350778" w:rsidRDefault="00971339" w:rsidP="0084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 xml:space="preserve"> (enter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SREP</w:t>
            </w:r>
            <w:r w:rsidRPr="00845F4A">
              <w:rPr>
                <w:rFonts w:ascii="Arial" w:hAnsi="Arial" w:cs="Arial"/>
                <w:i/>
                <w:sz w:val="20"/>
                <w:szCs w:val="20"/>
              </w:rPr>
              <w:t>001 or n/a)</w:t>
            </w:r>
          </w:p>
        </w:tc>
      </w:tr>
      <w:tr w:rsidR="00971339" w:rsidRPr="00445AFC" w:rsidTr="002E6875">
        <w:trPr>
          <w:trHeight w:val="567"/>
        </w:trPr>
        <w:tc>
          <w:tcPr>
            <w:tcW w:w="2376" w:type="dxa"/>
            <w:shd w:val="clear" w:color="auto" w:fill="D81F2A"/>
            <w:vAlign w:val="center"/>
          </w:tcPr>
          <w:p w:rsidR="00971339" w:rsidRPr="002537F8" w:rsidRDefault="00971339" w:rsidP="00C56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Documentation &amp; Final Application</w:t>
            </w:r>
          </w:p>
        </w:tc>
        <w:tc>
          <w:tcPr>
            <w:tcW w:w="3402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544" w:type="dxa"/>
            <w:vAlign w:val="center"/>
          </w:tcPr>
          <w:p w:rsidR="00971339" w:rsidRPr="00445AFC" w:rsidRDefault="00971339" w:rsidP="002E6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3969" w:type="dxa"/>
            <w:vAlign w:val="center"/>
          </w:tcPr>
          <w:p w:rsidR="00971339" w:rsidRPr="00350778" w:rsidRDefault="00971339" w:rsidP="0084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5F4A">
              <w:rPr>
                <w:rFonts w:ascii="Arial" w:hAnsi="Arial" w:cs="Arial"/>
                <w:i/>
                <w:sz w:val="20"/>
                <w:szCs w:val="20"/>
              </w:rPr>
              <w:t xml:space="preserve"> (enter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DFA</w:t>
            </w:r>
            <w:r w:rsidRPr="00845F4A">
              <w:rPr>
                <w:rFonts w:ascii="Arial" w:hAnsi="Arial" w:cs="Arial"/>
                <w:i/>
                <w:sz w:val="20"/>
                <w:szCs w:val="20"/>
              </w:rPr>
              <w:t>001 or n/a)</w:t>
            </w:r>
          </w:p>
        </w:tc>
      </w:tr>
    </w:tbl>
    <w:p w:rsidR="00845F4A" w:rsidRDefault="00845F4A" w:rsidP="00845F4A">
      <w:pPr>
        <w:spacing w:before="120" w:after="120"/>
        <w:rPr>
          <w:rFonts w:ascii="Arial" w:hAnsi="Arial" w:cs="Arial"/>
          <w:b/>
          <w:sz w:val="20"/>
          <w:szCs w:val="24"/>
        </w:rPr>
      </w:pPr>
      <w:r w:rsidRPr="00845F4A">
        <w:rPr>
          <w:rFonts w:ascii="Arial" w:hAnsi="Arial" w:cs="Arial"/>
          <w:b/>
          <w:sz w:val="20"/>
          <w:szCs w:val="24"/>
        </w:rPr>
        <w:t>Notes:</w:t>
      </w:r>
    </w:p>
    <w:p w:rsidR="00845F4A" w:rsidRDefault="00845F4A" w:rsidP="00845F4A">
      <w:pPr>
        <w:spacing w:before="120"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(1) </w:t>
      </w:r>
      <w:r w:rsidRPr="00845F4A">
        <w:rPr>
          <w:rFonts w:ascii="Arial" w:hAnsi="Arial" w:cs="Arial"/>
          <w:sz w:val="20"/>
          <w:szCs w:val="24"/>
        </w:rPr>
        <w:t>Agents should enter yes only if all Lloyd’s feedback has been addressed.  This column can be no even for a green rated evidence template.</w:t>
      </w:r>
    </w:p>
    <w:p w:rsidR="00845F4A" w:rsidRPr="00845F4A" w:rsidRDefault="00845F4A" w:rsidP="00845F4A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(2) </w:t>
      </w:r>
      <w:r w:rsidRPr="00845F4A">
        <w:rPr>
          <w:rFonts w:ascii="Arial" w:hAnsi="Arial" w:cs="Arial"/>
          <w:sz w:val="20"/>
          <w:szCs w:val="24"/>
        </w:rPr>
        <w:t>Agents should enter yes only if Lloyd’s has confirmed that</w:t>
      </w:r>
      <w:r>
        <w:rPr>
          <w:rFonts w:ascii="Arial" w:hAnsi="Arial" w:cs="Arial"/>
          <w:sz w:val="20"/>
          <w:szCs w:val="24"/>
        </w:rPr>
        <w:t xml:space="preserve"> the</w:t>
      </w:r>
      <w:r w:rsidRPr="00845F4A">
        <w:rPr>
          <w:rFonts w:ascii="Arial" w:hAnsi="Arial" w:cs="Arial"/>
          <w:sz w:val="20"/>
          <w:szCs w:val="24"/>
        </w:rPr>
        <w:t xml:space="preserve"> Evidence Template has achieved a green rating.</w:t>
      </w:r>
    </w:p>
    <w:p w:rsidR="004F61E2" w:rsidRDefault="00845F4A" w:rsidP="00845F4A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(3) </w:t>
      </w:r>
      <w:r w:rsidRPr="00845F4A">
        <w:rPr>
          <w:rFonts w:ascii="Arial" w:hAnsi="Arial" w:cs="Arial"/>
          <w:sz w:val="20"/>
          <w:szCs w:val="24"/>
        </w:rPr>
        <w:t xml:space="preserve">Any Evidence Template not yet rated green should be recorded in the ASR as a gap and the relevant reference provided here.  If the template is green this column can show </w:t>
      </w:r>
      <w:r>
        <w:rPr>
          <w:rFonts w:ascii="Arial" w:hAnsi="Arial" w:cs="Arial"/>
          <w:sz w:val="20"/>
          <w:szCs w:val="24"/>
        </w:rPr>
        <w:t>“</w:t>
      </w:r>
      <w:r w:rsidRPr="00845F4A">
        <w:rPr>
          <w:rFonts w:ascii="Arial" w:hAnsi="Arial" w:cs="Arial"/>
          <w:sz w:val="20"/>
          <w:szCs w:val="24"/>
        </w:rPr>
        <w:t>n/a</w:t>
      </w:r>
      <w:r>
        <w:rPr>
          <w:rFonts w:ascii="Arial" w:hAnsi="Arial" w:cs="Arial"/>
          <w:sz w:val="20"/>
          <w:szCs w:val="24"/>
        </w:rPr>
        <w:t>”</w:t>
      </w:r>
      <w:r w:rsidRPr="00845F4A">
        <w:rPr>
          <w:rFonts w:ascii="Arial" w:hAnsi="Arial" w:cs="Arial"/>
          <w:sz w:val="20"/>
          <w:szCs w:val="24"/>
        </w:rPr>
        <w:t>.</w:t>
      </w:r>
    </w:p>
    <w:p w:rsidR="00FD317F" w:rsidRPr="00845F4A" w:rsidRDefault="001B2908">
      <w:pPr>
        <w:rPr>
          <w:rFonts w:ascii="Sansa Lloyds" w:hAnsi="Sansa Lloyds" w:cs="Arial"/>
          <w:b/>
          <w:sz w:val="24"/>
          <w:szCs w:val="24"/>
        </w:rPr>
      </w:pPr>
      <w:r w:rsidRPr="00845F4A">
        <w:rPr>
          <w:rFonts w:ascii="Sansa Lloyds" w:hAnsi="Sansa Lloyds" w:cs="Arial"/>
          <w:b/>
          <w:sz w:val="24"/>
          <w:szCs w:val="24"/>
        </w:rPr>
        <w:lastRenderedPageBreak/>
        <w:t>Section 2</w:t>
      </w:r>
    </w:p>
    <w:p w:rsidR="006B1BAD" w:rsidRDefault="006B1BAD" w:rsidP="006B1BA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confirm that:</w:t>
      </w:r>
    </w:p>
    <w:p w:rsidR="006B1BAD" w:rsidRDefault="006B1BAD" w:rsidP="006B1BAD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700A2D">
        <w:rPr>
          <w:rFonts w:ascii="Arial" w:hAnsi="Arial" w:cs="Arial"/>
          <w:sz w:val="20"/>
          <w:szCs w:val="20"/>
        </w:rPr>
        <w:t xml:space="preserve">the table below </w:t>
      </w:r>
      <w:r>
        <w:rPr>
          <w:rFonts w:ascii="Arial" w:hAnsi="Arial" w:cs="Arial"/>
          <w:sz w:val="20"/>
          <w:szCs w:val="20"/>
        </w:rPr>
        <w:t xml:space="preserve">properly </w:t>
      </w:r>
      <w:r w:rsidRPr="00700A2D">
        <w:rPr>
          <w:rFonts w:ascii="Arial" w:hAnsi="Arial" w:cs="Arial"/>
          <w:sz w:val="20"/>
          <w:szCs w:val="20"/>
        </w:rPr>
        <w:t xml:space="preserve">reflects the current status of </w:t>
      </w:r>
      <w:r>
        <w:rPr>
          <w:rFonts w:ascii="Arial" w:hAnsi="Arial" w:cs="Arial"/>
          <w:sz w:val="20"/>
          <w:szCs w:val="20"/>
        </w:rPr>
        <w:t>progress on all workstreams and all feedback received to date and is consistent with the Agent Status Report (ASR) and Self Assessment scores submitted</w:t>
      </w:r>
    </w:p>
    <w:p w:rsidR="006B1BAD" w:rsidRDefault="006B1BAD" w:rsidP="006B1BAD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6B1BAD">
        <w:rPr>
          <w:rFonts w:ascii="Arial" w:hAnsi="Arial" w:cs="Arial"/>
          <w:sz w:val="20"/>
          <w:szCs w:val="20"/>
        </w:rPr>
        <w:t>we have maintained evidence of compliance with the</w:t>
      </w:r>
      <w:r>
        <w:rPr>
          <w:rFonts w:ascii="Arial" w:hAnsi="Arial" w:cs="Arial"/>
          <w:sz w:val="20"/>
          <w:szCs w:val="20"/>
        </w:rPr>
        <w:t xml:space="preserve"> tests and </w:t>
      </w:r>
      <w:r w:rsidRPr="006B1BAD">
        <w:rPr>
          <w:rFonts w:ascii="Arial" w:hAnsi="Arial" w:cs="Arial"/>
          <w:sz w:val="20"/>
          <w:szCs w:val="20"/>
        </w:rPr>
        <w:t>standards in our Evidence Templates and the associated underlying evidence</w:t>
      </w:r>
    </w:p>
    <w:p w:rsidR="00700A2D" w:rsidRPr="006B1BAD" w:rsidRDefault="006B1BAD" w:rsidP="006B1BAD">
      <w:pPr>
        <w:pStyle w:val="ListParagraph"/>
        <w:numPr>
          <w:ilvl w:val="0"/>
          <w:numId w:val="2"/>
        </w:numPr>
        <w:spacing w:after="120"/>
        <w:ind w:left="777" w:hanging="357"/>
        <w:contextualSpacing w:val="0"/>
        <w:rPr>
          <w:rFonts w:ascii="Arial" w:hAnsi="Arial" w:cs="Arial"/>
          <w:sz w:val="20"/>
          <w:szCs w:val="20"/>
        </w:rPr>
      </w:pPr>
      <w:r w:rsidRPr="006B1BAD">
        <w:rPr>
          <w:rFonts w:ascii="Arial" w:hAnsi="Arial" w:cs="Arial"/>
          <w:sz w:val="20"/>
          <w:szCs w:val="20"/>
        </w:rPr>
        <w:t xml:space="preserve">the ASR contains full details of the work remaining and associated timescales for any exceptions noted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3118"/>
        <w:gridCol w:w="4111"/>
      </w:tblGrid>
      <w:tr w:rsidR="002537F8" w:rsidRPr="00445AFC" w:rsidTr="001D1E58">
        <w:tc>
          <w:tcPr>
            <w:tcW w:w="2376" w:type="dxa"/>
          </w:tcPr>
          <w:p w:rsidR="002537F8" w:rsidRPr="00241EBB" w:rsidRDefault="002537F8" w:rsidP="006D67FF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>
              <w:rPr>
                <w:rFonts w:ascii="Sansa Lloyds" w:hAnsi="Sansa Lloyds" w:cs="Arial"/>
                <w:sz w:val="20"/>
                <w:szCs w:val="20"/>
              </w:rPr>
              <w:t>w</w:t>
            </w:r>
            <w:r w:rsidRPr="00241EBB">
              <w:rPr>
                <w:rFonts w:ascii="Sansa Lloyds" w:hAnsi="Sansa Lloyds" w:cs="Arial"/>
                <w:sz w:val="20"/>
                <w:szCs w:val="20"/>
              </w:rPr>
              <w:t>orkstream</w:t>
            </w:r>
          </w:p>
        </w:tc>
        <w:tc>
          <w:tcPr>
            <w:tcW w:w="2127" w:type="dxa"/>
          </w:tcPr>
          <w:p w:rsidR="002537F8" w:rsidRPr="00241EBB" w:rsidRDefault="002537F8" w:rsidP="001D1E58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 w:rsidRPr="00241EBB">
              <w:rPr>
                <w:rFonts w:ascii="Sansa Lloyds" w:hAnsi="Sansa Lloyds" w:cs="Arial"/>
                <w:sz w:val="20"/>
                <w:szCs w:val="20"/>
              </w:rPr>
              <w:t>Workst</w:t>
            </w:r>
            <w:r w:rsidR="001D1E58">
              <w:rPr>
                <w:rFonts w:ascii="Sansa Lloyds" w:hAnsi="Sansa Lloyds" w:cs="Arial"/>
                <w:sz w:val="20"/>
                <w:szCs w:val="20"/>
              </w:rPr>
              <w:t>r</w:t>
            </w:r>
            <w:r w:rsidRPr="00241EBB">
              <w:rPr>
                <w:rFonts w:ascii="Sansa Lloyds" w:hAnsi="Sansa Lloyds" w:cs="Arial"/>
                <w:sz w:val="20"/>
                <w:szCs w:val="20"/>
              </w:rPr>
              <w:t>eam complete</w:t>
            </w:r>
            <w:r w:rsidR="006B1BAD">
              <w:rPr>
                <w:rFonts w:ascii="Sansa Lloyds" w:hAnsi="Sansa Lloyds" w:cs="Arial"/>
                <w:sz w:val="20"/>
                <w:szCs w:val="20"/>
              </w:rPr>
              <w:t xml:space="preserve"> 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(1)</w:t>
            </w:r>
          </w:p>
        </w:tc>
        <w:tc>
          <w:tcPr>
            <w:tcW w:w="2268" w:type="dxa"/>
          </w:tcPr>
          <w:p w:rsidR="002537F8" w:rsidRPr="00241EBB" w:rsidRDefault="00C56681" w:rsidP="001D1E58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>
              <w:rPr>
                <w:rFonts w:ascii="Sansa Lloyds" w:hAnsi="Sansa Lloyds" w:cs="Arial"/>
                <w:sz w:val="20"/>
                <w:szCs w:val="20"/>
              </w:rPr>
              <w:t>Number of exceptions</w:t>
            </w:r>
            <w:r w:rsidR="002537F8">
              <w:rPr>
                <w:rFonts w:ascii="Sansa Lloyds" w:hAnsi="Sansa Lloyds" w:cs="Arial"/>
                <w:sz w:val="20"/>
                <w:szCs w:val="20"/>
              </w:rPr>
              <w:t xml:space="preserve"> 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1D1E58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3118" w:type="dxa"/>
          </w:tcPr>
          <w:p w:rsidR="002537F8" w:rsidRPr="00241EBB" w:rsidRDefault="001D1E58" w:rsidP="001D1E58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>
              <w:rPr>
                <w:rFonts w:ascii="Sansa Lloyds" w:hAnsi="Sansa Lloyds" w:cs="Arial"/>
                <w:sz w:val="20"/>
                <w:szCs w:val="20"/>
              </w:rPr>
              <w:t xml:space="preserve">Source of exceptions 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4111" w:type="dxa"/>
          </w:tcPr>
          <w:p w:rsidR="002537F8" w:rsidRPr="00241EBB" w:rsidRDefault="002537F8" w:rsidP="001D1E58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 w:rsidRPr="00241EBB">
              <w:rPr>
                <w:rFonts w:ascii="Sansa Lloyds" w:hAnsi="Sansa Lloyds" w:cs="Arial"/>
                <w:sz w:val="20"/>
                <w:szCs w:val="20"/>
              </w:rPr>
              <w:t>Agent Status Report</w:t>
            </w:r>
            <w:r w:rsidR="006B1BAD">
              <w:rPr>
                <w:rFonts w:ascii="Sansa Lloyds" w:hAnsi="Sansa Lloyds" w:cs="Arial"/>
                <w:sz w:val="20"/>
                <w:szCs w:val="20"/>
              </w:rPr>
              <w:t xml:space="preserve"> Reference for work outstanding 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1D1E58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="006B1BAD" w:rsidRPr="00350778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2537F8" w:rsidRPr="00445AFC" w:rsidTr="001D1E58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6EC9E0"/>
            <w:vAlign w:val="center"/>
          </w:tcPr>
          <w:p w:rsidR="002537F8" w:rsidRPr="002537F8" w:rsidRDefault="002537F8" w:rsidP="006B1B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Internal Model SCR</w:t>
            </w:r>
          </w:p>
        </w:tc>
        <w:tc>
          <w:tcPr>
            <w:tcW w:w="2127" w:type="dxa"/>
            <w:vAlign w:val="center"/>
          </w:tcPr>
          <w:p w:rsidR="002537F8" w:rsidRPr="001D1E58" w:rsidRDefault="001D1E58" w:rsidP="001D1E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2268" w:type="dxa"/>
            <w:vAlign w:val="center"/>
          </w:tcPr>
          <w:p w:rsidR="002537F8" w:rsidRPr="001D1E58" w:rsidRDefault="001D1E58" w:rsidP="001D1E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figure or “n/a”</w:t>
            </w:r>
          </w:p>
        </w:tc>
        <w:tc>
          <w:tcPr>
            <w:tcW w:w="3118" w:type="dxa"/>
            <w:vAlign w:val="center"/>
          </w:tcPr>
          <w:p w:rsidR="002537F8" w:rsidRPr="001D1E58" w:rsidRDefault="001D1E58" w:rsidP="001D1E5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Eg – self assessed, Lloyd’s feedback, FSA feedba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D1E58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:rsidR="002537F8" w:rsidRPr="00445AFC" w:rsidRDefault="001D1E58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Include ASR reference for any exc</w:t>
            </w:r>
            <w:r w:rsidR="00971339">
              <w:rPr>
                <w:rFonts w:ascii="Arial" w:hAnsi="Arial" w:cs="Arial"/>
                <w:i/>
                <w:sz w:val="20"/>
                <w:szCs w:val="20"/>
              </w:rPr>
              <w:t>eptions noted in (2) e.g. IMSCR002</w:t>
            </w:r>
          </w:p>
        </w:tc>
      </w:tr>
      <w:tr w:rsidR="002537F8" w:rsidRPr="00445AFC" w:rsidTr="00971339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9E4770"/>
            <w:vAlign w:val="center"/>
          </w:tcPr>
          <w:p w:rsidR="002537F8" w:rsidRPr="002537F8" w:rsidRDefault="002537F8" w:rsidP="006B1B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Valuation &amp; Balance Sheet</w:t>
            </w:r>
          </w:p>
        </w:tc>
        <w:tc>
          <w:tcPr>
            <w:tcW w:w="2127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226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figure or “n/a”</w:t>
            </w:r>
          </w:p>
        </w:tc>
        <w:tc>
          <w:tcPr>
            <w:tcW w:w="311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Eg – self assessed, Lloyd’s feedback, FSA feedba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D1E58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Include ASR reference for any exc</w:t>
            </w:r>
            <w:r>
              <w:rPr>
                <w:rFonts w:ascii="Arial" w:hAnsi="Arial" w:cs="Arial"/>
                <w:i/>
                <w:sz w:val="20"/>
                <w:szCs w:val="20"/>
              </w:rPr>
              <w:t>eptions noted in (2) e.g. VBS002</w:t>
            </w:r>
          </w:p>
        </w:tc>
      </w:tr>
      <w:tr w:rsidR="002537F8" w:rsidRPr="00445AFC" w:rsidTr="00971339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2537F8" w:rsidRPr="002537F8" w:rsidRDefault="002537F8" w:rsidP="006B1B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Technical Provisions &amp; Standard Formula</w:t>
            </w:r>
          </w:p>
        </w:tc>
        <w:tc>
          <w:tcPr>
            <w:tcW w:w="2127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226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figure or “n/a”</w:t>
            </w:r>
          </w:p>
        </w:tc>
        <w:tc>
          <w:tcPr>
            <w:tcW w:w="311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Eg – self assessed, Lloyd’s feedback, FSA feedba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D1E58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Include ASR reference for any exc</w:t>
            </w:r>
            <w:r>
              <w:rPr>
                <w:rFonts w:ascii="Arial" w:hAnsi="Arial" w:cs="Arial"/>
                <w:i/>
                <w:sz w:val="20"/>
                <w:szCs w:val="20"/>
              </w:rPr>
              <w:t>eptions noted in (2) e.g. TPSF002</w:t>
            </w:r>
          </w:p>
        </w:tc>
      </w:tr>
      <w:tr w:rsidR="002537F8" w:rsidRPr="00445AFC" w:rsidTr="00971339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EA900"/>
            <w:vAlign w:val="center"/>
          </w:tcPr>
          <w:p w:rsidR="002537F8" w:rsidRPr="002537F8" w:rsidRDefault="002537F8" w:rsidP="006B1B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Model Validation</w:t>
            </w:r>
          </w:p>
        </w:tc>
        <w:tc>
          <w:tcPr>
            <w:tcW w:w="2127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226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figure or “n/a”</w:t>
            </w:r>
          </w:p>
        </w:tc>
        <w:tc>
          <w:tcPr>
            <w:tcW w:w="311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Eg – self assessed, Lloyd’s feedback, FSA feedba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D1E58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Include ASR reference for any exc</w:t>
            </w:r>
            <w:r>
              <w:rPr>
                <w:rFonts w:ascii="Arial" w:hAnsi="Arial" w:cs="Arial"/>
                <w:i/>
                <w:sz w:val="20"/>
                <w:szCs w:val="20"/>
              </w:rPr>
              <w:t>eptions noted in (2) e.g. MVAL002</w:t>
            </w:r>
          </w:p>
        </w:tc>
      </w:tr>
      <w:tr w:rsidR="002537F8" w:rsidRPr="00445AFC" w:rsidTr="00971339">
        <w:trPr>
          <w:trHeight w:val="56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007EA3"/>
            <w:vAlign w:val="center"/>
          </w:tcPr>
          <w:p w:rsidR="002537F8" w:rsidRPr="002537F8" w:rsidRDefault="002537F8" w:rsidP="006B1B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Governance Risk Management &amp; Use</w:t>
            </w:r>
          </w:p>
        </w:tc>
        <w:tc>
          <w:tcPr>
            <w:tcW w:w="2127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226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figure or “n/a”</w:t>
            </w:r>
          </w:p>
        </w:tc>
        <w:tc>
          <w:tcPr>
            <w:tcW w:w="311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Eg – self assessed, Lloyd’s feedback, FSA feedba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D1E58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Include ASR reference for any exc</w:t>
            </w:r>
            <w:r>
              <w:rPr>
                <w:rFonts w:ascii="Arial" w:hAnsi="Arial" w:cs="Arial"/>
                <w:i/>
                <w:sz w:val="20"/>
                <w:szCs w:val="20"/>
              </w:rPr>
              <w:t>eptions noted in (2) e.g. GRMU002</w:t>
            </w:r>
          </w:p>
        </w:tc>
      </w:tr>
      <w:tr w:rsidR="00C56681" w:rsidRPr="00445AFC" w:rsidTr="001D1E58">
        <w:trPr>
          <w:trHeight w:val="567"/>
        </w:trPr>
        <w:tc>
          <w:tcPr>
            <w:tcW w:w="2376" w:type="dxa"/>
            <w:shd w:val="clear" w:color="auto" w:fill="DECC12"/>
            <w:vAlign w:val="center"/>
          </w:tcPr>
          <w:p w:rsidR="00C56681" w:rsidRPr="002537F8" w:rsidRDefault="00C56681" w:rsidP="006B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sz w:val="20"/>
                <w:szCs w:val="20"/>
              </w:rPr>
              <w:t>Supervisory Reporting &amp; Disclosure</w:t>
            </w:r>
          </w:p>
        </w:tc>
        <w:tc>
          <w:tcPr>
            <w:tcW w:w="11624" w:type="dxa"/>
            <w:gridSpan w:val="4"/>
            <w:shd w:val="clear" w:color="auto" w:fill="A6A6A6" w:themeFill="background1" w:themeFillShade="A6"/>
            <w:vAlign w:val="center"/>
          </w:tcPr>
          <w:p w:rsidR="00C56681" w:rsidRPr="001D1E58" w:rsidRDefault="00C56681" w:rsidP="00C56681">
            <w:pPr>
              <w:jc w:val="center"/>
              <w:rPr>
                <w:rFonts w:ascii="Sansa Lloyds" w:hAnsi="Sansa Lloyds" w:cs="Arial"/>
                <w:sz w:val="20"/>
                <w:szCs w:val="20"/>
              </w:rPr>
            </w:pPr>
            <w:r w:rsidRPr="001D1E58">
              <w:rPr>
                <w:rFonts w:ascii="Sansa Lloyds" w:hAnsi="Sansa Lloyds" w:cs="Arial"/>
                <w:sz w:val="20"/>
                <w:szCs w:val="20"/>
              </w:rPr>
              <w:t>Not applicable – Reporting Dry Run due to take place in Q2 2013</w:t>
            </w:r>
          </w:p>
        </w:tc>
      </w:tr>
      <w:tr w:rsidR="002537F8" w:rsidRPr="00445AFC" w:rsidTr="00971339">
        <w:trPr>
          <w:trHeight w:val="567"/>
        </w:trPr>
        <w:tc>
          <w:tcPr>
            <w:tcW w:w="2376" w:type="dxa"/>
            <w:shd w:val="clear" w:color="auto" w:fill="D81F2A"/>
            <w:vAlign w:val="center"/>
          </w:tcPr>
          <w:p w:rsidR="002537F8" w:rsidRPr="002537F8" w:rsidRDefault="002537F8" w:rsidP="006B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7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Documentation &amp; Final Application</w:t>
            </w:r>
          </w:p>
        </w:tc>
        <w:tc>
          <w:tcPr>
            <w:tcW w:w="2127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yes or no</w:t>
            </w:r>
          </w:p>
        </w:tc>
        <w:tc>
          <w:tcPr>
            <w:tcW w:w="226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Enter figure or “n/a”</w:t>
            </w:r>
          </w:p>
        </w:tc>
        <w:tc>
          <w:tcPr>
            <w:tcW w:w="3118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Eg – self assessed, Lloyd’s feedback, FSA feedba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D1E58">
              <w:rPr>
                <w:rFonts w:ascii="Arial" w:hAnsi="Arial" w:cs="Arial"/>
                <w:i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:rsidR="002537F8" w:rsidRPr="00445AFC" w:rsidRDefault="00971339" w:rsidP="0097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E58">
              <w:rPr>
                <w:rFonts w:ascii="Arial" w:hAnsi="Arial" w:cs="Arial"/>
                <w:i/>
                <w:sz w:val="20"/>
                <w:szCs w:val="20"/>
              </w:rPr>
              <w:t>Include ASR reference for any exc</w:t>
            </w:r>
            <w:r>
              <w:rPr>
                <w:rFonts w:ascii="Arial" w:hAnsi="Arial" w:cs="Arial"/>
                <w:i/>
                <w:sz w:val="20"/>
                <w:szCs w:val="20"/>
              </w:rPr>
              <w:t>eptions noted in (2) e.g. DFA002</w:t>
            </w:r>
          </w:p>
        </w:tc>
      </w:tr>
    </w:tbl>
    <w:p w:rsidR="006B1BAD" w:rsidRDefault="006B1BAD" w:rsidP="006B1BAD">
      <w:pPr>
        <w:spacing w:before="120" w:after="120"/>
        <w:rPr>
          <w:rFonts w:ascii="Arial" w:hAnsi="Arial" w:cs="Arial"/>
          <w:b/>
          <w:sz w:val="20"/>
          <w:szCs w:val="24"/>
        </w:rPr>
      </w:pPr>
      <w:r w:rsidRPr="00845F4A">
        <w:rPr>
          <w:rFonts w:ascii="Arial" w:hAnsi="Arial" w:cs="Arial"/>
          <w:b/>
          <w:sz w:val="20"/>
          <w:szCs w:val="24"/>
        </w:rPr>
        <w:t>Notes:</w:t>
      </w:r>
    </w:p>
    <w:p w:rsidR="006B1BAD" w:rsidRDefault="006B1BAD" w:rsidP="006B1BAD">
      <w:pPr>
        <w:spacing w:before="120" w:after="1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(1) </w:t>
      </w:r>
      <w:r w:rsidRPr="00845F4A">
        <w:rPr>
          <w:rFonts w:ascii="Arial" w:hAnsi="Arial" w:cs="Arial"/>
          <w:sz w:val="20"/>
          <w:szCs w:val="24"/>
        </w:rPr>
        <w:t xml:space="preserve">Agents should enter yes only if all </w:t>
      </w:r>
      <w:r>
        <w:rPr>
          <w:rFonts w:ascii="Arial" w:hAnsi="Arial" w:cs="Arial"/>
          <w:sz w:val="20"/>
          <w:szCs w:val="24"/>
        </w:rPr>
        <w:t>scoring elements within the workstream are scored at a 10 with sufficient evidence in place to support this and all feedback received to date has been addressed.</w:t>
      </w:r>
    </w:p>
    <w:p w:rsidR="001D1E58" w:rsidRDefault="006B1BAD" w:rsidP="006B1BAD">
      <w:pPr>
        <w:spacing w:before="120" w:after="12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(2) </w:t>
      </w:r>
      <w:r w:rsidR="001D1E58" w:rsidRPr="001D1E58">
        <w:rPr>
          <w:rFonts w:ascii="Arial" w:hAnsi="Arial" w:cs="Arial"/>
          <w:sz w:val="20"/>
          <w:szCs w:val="24"/>
        </w:rPr>
        <w:t xml:space="preserve">Agents should </w:t>
      </w:r>
      <w:r w:rsidR="001D1E58">
        <w:rPr>
          <w:rFonts w:ascii="Arial" w:hAnsi="Arial" w:cs="Arial"/>
          <w:sz w:val="20"/>
          <w:szCs w:val="24"/>
        </w:rPr>
        <w:t xml:space="preserve">enter </w:t>
      </w:r>
      <w:r w:rsidR="001D1E58" w:rsidRPr="001D1E58">
        <w:rPr>
          <w:rFonts w:ascii="Arial" w:hAnsi="Arial" w:cs="Arial"/>
          <w:sz w:val="20"/>
          <w:szCs w:val="24"/>
        </w:rPr>
        <w:t>the number of scoring elements within the workstream which are not scored at a 10</w:t>
      </w:r>
      <w:r w:rsidR="001D1E58">
        <w:rPr>
          <w:rFonts w:ascii="Arial" w:hAnsi="Arial" w:cs="Arial"/>
          <w:sz w:val="20"/>
          <w:szCs w:val="24"/>
        </w:rPr>
        <w:t xml:space="preserve"> or enter “n/a” if complete as per (1) above.</w:t>
      </w:r>
      <w:r w:rsidR="001D1E58" w:rsidRPr="001D1E58">
        <w:rPr>
          <w:rFonts w:ascii="Arial" w:hAnsi="Arial" w:cs="Arial"/>
          <w:sz w:val="20"/>
          <w:szCs w:val="24"/>
        </w:rPr>
        <w:t xml:space="preserve"> </w:t>
      </w:r>
    </w:p>
    <w:p w:rsidR="001D1E58" w:rsidRDefault="006B1BAD" w:rsidP="001D1E5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4"/>
        </w:rPr>
        <w:t xml:space="preserve">(3) </w:t>
      </w:r>
      <w:r w:rsidR="001D1E58" w:rsidRPr="001D1E58">
        <w:rPr>
          <w:rFonts w:ascii="Arial" w:hAnsi="Arial" w:cs="Arial"/>
          <w:sz w:val="20"/>
          <w:szCs w:val="24"/>
        </w:rPr>
        <w:t xml:space="preserve">Please indicate the source of any exceptions noted in (2) above – </w:t>
      </w:r>
      <w:r w:rsidR="00971339" w:rsidRPr="001D1E58">
        <w:rPr>
          <w:rFonts w:ascii="Arial" w:hAnsi="Arial" w:cs="Arial"/>
          <w:sz w:val="20"/>
          <w:szCs w:val="24"/>
        </w:rPr>
        <w:t>e.g.</w:t>
      </w:r>
      <w:r w:rsidR="001D1E58" w:rsidRPr="001D1E58">
        <w:rPr>
          <w:rFonts w:ascii="Arial" w:hAnsi="Arial" w:cs="Arial"/>
          <w:sz w:val="20"/>
          <w:szCs w:val="24"/>
        </w:rPr>
        <w:t xml:space="preserve"> work identified by self assessment, Lloyd’s feedback, FSA feedback</w:t>
      </w:r>
      <w:r w:rsidR="001D1E58">
        <w:rPr>
          <w:rFonts w:ascii="Arial" w:hAnsi="Arial" w:cs="Arial"/>
          <w:b/>
          <w:sz w:val="20"/>
          <w:szCs w:val="24"/>
        </w:rPr>
        <w:t xml:space="preserve">  </w:t>
      </w:r>
    </w:p>
    <w:p w:rsidR="00582CE6" w:rsidRDefault="001D1E58">
      <w:r w:rsidRPr="001D1E58">
        <w:rPr>
          <w:rFonts w:ascii="Arial" w:hAnsi="Arial" w:cs="Arial"/>
          <w:b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 xml:space="preserve"> Please provide the ASR reference for any scoring element with exception and ensure that </w:t>
      </w:r>
      <w:r w:rsidR="00845F4A">
        <w:rPr>
          <w:rFonts w:ascii="Arial" w:hAnsi="Arial" w:cs="Arial"/>
          <w:sz w:val="20"/>
          <w:szCs w:val="20"/>
        </w:rPr>
        <w:t>sufficient detail</w:t>
      </w:r>
      <w:r>
        <w:rPr>
          <w:rFonts w:ascii="Arial" w:hAnsi="Arial" w:cs="Arial"/>
          <w:sz w:val="20"/>
          <w:szCs w:val="20"/>
        </w:rPr>
        <w:t xml:space="preserve"> on the work outstanding and timings to address is provided in</w:t>
      </w:r>
      <w:r w:rsidR="00845F4A">
        <w:rPr>
          <w:rFonts w:ascii="Arial" w:hAnsi="Arial" w:cs="Arial"/>
          <w:sz w:val="20"/>
          <w:szCs w:val="20"/>
        </w:rPr>
        <w:t xml:space="preserve"> the ASR. </w:t>
      </w:r>
      <w:r w:rsidR="00845F4A" w:rsidRPr="001A70A9">
        <w:rPr>
          <w:rFonts w:ascii="Arial" w:hAnsi="Arial" w:cs="Arial"/>
          <w:sz w:val="20"/>
          <w:szCs w:val="20"/>
        </w:rPr>
        <w:t xml:space="preserve">  </w:t>
      </w:r>
    </w:p>
    <w:sectPr w:rsidR="00582CE6" w:rsidSect="0035077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a Lloyds">
    <w:altName w:val="Times New Roman"/>
    <w:panose1 w:val="02000603040000020004"/>
    <w:charset w:val="00"/>
    <w:family w:val="auto"/>
    <w:pitch w:val="variable"/>
    <w:sig w:usb0="8000002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0CA44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>
    <w:nsid w:val="13416214"/>
    <w:multiLevelType w:val="hybridMultilevel"/>
    <w:tmpl w:val="E82C60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FC"/>
    <w:rsid w:val="00077ED4"/>
    <w:rsid w:val="00125A74"/>
    <w:rsid w:val="00126146"/>
    <w:rsid w:val="00137C3E"/>
    <w:rsid w:val="00180248"/>
    <w:rsid w:val="001A70A9"/>
    <w:rsid w:val="001B2908"/>
    <w:rsid w:val="001D1E58"/>
    <w:rsid w:val="001D763E"/>
    <w:rsid w:val="00214694"/>
    <w:rsid w:val="00220B5F"/>
    <w:rsid w:val="00241EBB"/>
    <w:rsid w:val="002537F8"/>
    <w:rsid w:val="002E6875"/>
    <w:rsid w:val="00316E82"/>
    <w:rsid w:val="00350778"/>
    <w:rsid w:val="00445AFC"/>
    <w:rsid w:val="004F61E2"/>
    <w:rsid w:val="00582CE6"/>
    <w:rsid w:val="006515A9"/>
    <w:rsid w:val="006B1BAD"/>
    <w:rsid w:val="006D67FF"/>
    <w:rsid w:val="00700A2D"/>
    <w:rsid w:val="00740300"/>
    <w:rsid w:val="00780960"/>
    <w:rsid w:val="00845F4A"/>
    <w:rsid w:val="00865444"/>
    <w:rsid w:val="00957A45"/>
    <w:rsid w:val="00971339"/>
    <w:rsid w:val="00BD15EB"/>
    <w:rsid w:val="00C163B3"/>
    <w:rsid w:val="00C56681"/>
    <w:rsid w:val="00CF23B2"/>
    <w:rsid w:val="00E40258"/>
    <w:rsid w:val="00E922B0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00A2D"/>
    <w:pPr>
      <w:numPr>
        <w:numId w:val="1"/>
      </w:numPr>
      <w:spacing w:after="0" w:line="280" w:lineRule="atLeast"/>
    </w:pPr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0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00A2D"/>
    <w:pPr>
      <w:numPr>
        <w:numId w:val="1"/>
      </w:numPr>
      <w:spacing w:after="0" w:line="280" w:lineRule="atLeast"/>
    </w:pPr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0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3A80-8E94-4E67-8DE8-DB6E5E5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8C40F663.dotm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Harfitt, Lorraine</cp:lastModifiedBy>
  <cp:revision>3</cp:revision>
  <cp:lastPrinted>2012-08-14T11:35:00Z</cp:lastPrinted>
  <dcterms:created xsi:type="dcterms:W3CDTF">2012-08-30T11:10:00Z</dcterms:created>
  <dcterms:modified xsi:type="dcterms:W3CDTF">2012-08-30T11:12:00Z</dcterms:modified>
</cp:coreProperties>
</file>