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55" w:rsidRPr="006A6208" w:rsidRDefault="00421643" w:rsidP="006A6208">
      <w:pPr>
        <w:pStyle w:val="Heading1"/>
        <w:numPr>
          <w:ilvl w:val="0"/>
          <w:numId w:val="0"/>
        </w:numPr>
        <w:ind w:right="141"/>
        <w:contextualSpacing/>
        <w:rPr>
          <w:rFonts w:cs="Arial"/>
          <w:color w:val="1E35BF"/>
          <w:sz w:val="28"/>
          <w:szCs w:val="28"/>
        </w:rPr>
      </w:pPr>
      <w:r w:rsidRPr="006A6208">
        <w:rPr>
          <w:rFonts w:cs="Arial"/>
          <w:color w:val="0021A4"/>
          <w:kern w:val="0"/>
          <w:sz w:val="28"/>
          <w:szCs w:val="28"/>
        </w:rPr>
        <w:t xml:space="preserve">AXIS Corporate Capital UK Limited </w:t>
      </w:r>
      <w:r w:rsidRPr="006A6208">
        <w:rPr>
          <w:rFonts w:cs="Arial"/>
          <w:color w:val="0021A4"/>
          <w:kern w:val="0"/>
          <w:sz w:val="28"/>
          <w:szCs w:val="28"/>
        </w:rPr>
        <w:br/>
      </w:r>
      <w:r w:rsidRPr="006A6208">
        <w:rPr>
          <w:rFonts w:cs="Arial"/>
          <w:color w:val="1E35BF"/>
          <w:kern w:val="0"/>
          <w:sz w:val="28"/>
          <w:szCs w:val="28"/>
        </w:rPr>
        <w:t xml:space="preserve">Represented by </w:t>
      </w:r>
      <w:r w:rsidR="006A6208">
        <w:rPr>
          <w:rFonts w:cs="Arial"/>
          <w:color w:val="1E35BF"/>
          <w:kern w:val="0"/>
          <w:sz w:val="28"/>
          <w:szCs w:val="28"/>
        </w:rPr>
        <w:t xml:space="preserve">Albert </w:t>
      </w:r>
      <w:proofErr w:type="spellStart"/>
      <w:proofErr w:type="gramStart"/>
      <w:r w:rsidR="006A6208">
        <w:rPr>
          <w:rFonts w:cs="Arial"/>
          <w:color w:val="1E35BF"/>
          <w:kern w:val="0"/>
          <w:sz w:val="28"/>
          <w:szCs w:val="28"/>
        </w:rPr>
        <w:t>A.</w:t>
      </w:r>
      <w:r w:rsidRPr="006A6208">
        <w:rPr>
          <w:rFonts w:cs="Arial"/>
          <w:color w:val="1E35BF"/>
          <w:kern w:val="0"/>
          <w:sz w:val="28"/>
          <w:szCs w:val="28"/>
        </w:rPr>
        <w:t>Benchimol</w:t>
      </w:r>
      <w:proofErr w:type="spellEnd"/>
      <w:proofErr w:type="gramEnd"/>
      <w:r w:rsidRPr="006A6208">
        <w:rPr>
          <w:rFonts w:cs="Arial"/>
          <w:color w:val="1E35BF"/>
          <w:kern w:val="0"/>
          <w:sz w:val="28"/>
          <w:szCs w:val="28"/>
        </w:rPr>
        <w:t xml:space="preserve">           </w:t>
      </w:r>
      <w:r w:rsidRPr="006A6208">
        <w:rPr>
          <w:rFonts w:cs="Arial"/>
          <w:color w:val="1E35BF"/>
          <w:sz w:val="28"/>
          <w:szCs w:val="28"/>
        </w:rPr>
        <w:t xml:space="preserve">                 </w:t>
      </w:r>
      <w:r w:rsidR="00E16D55" w:rsidRPr="006A6208">
        <w:rPr>
          <w:rFonts w:cs="Arial"/>
          <w:color w:val="1E35BF"/>
          <w:sz w:val="28"/>
          <w:szCs w:val="28"/>
        </w:rPr>
        <w:t xml:space="preserve">                 </w:t>
      </w:r>
    </w:p>
    <w:p w:rsidR="00421643" w:rsidRPr="00E16D55" w:rsidRDefault="00421643" w:rsidP="006A6208">
      <w:pPr>
        <w:pStyle w:val="Heading1"/>
        <w:numPr>
          <w:ilvl w:val="0"/>
          <w:numId w:val="0"/>
        </w:numPr>
        <w:contextualSpacing/>
        <w:rPr>
          <w:rFonts w:cs="Arial"/>
          <w:color w:val="1E35BF"/>
          <w:szCs w:val="18"/>
        </w:rPr>
      </w:pPr>
      <w:r w:rsidRPr="006A6208">
        <w:rPr>
          <w:rFonts w:cs="Arial"/>
          <w:color w:val="1E35BF"/>
          <w:sz w:val="28"/>
          <w:szCs w:val="28"/>
        </w:rPr>
        <w:t>Elected C-External Member</w:t>
      </w:r>
      <w:r>
        <w:rPr>
          <w:rFonts w:cs="Arial"/>
          <w:color w:val="1E35BF"/>
          <w:szCs w:val="18"/>
        </w:rPr>
        <w:t xml:space="preserve">                      </w:t>
      </w:r>
    </w:p>
    <w:p w:rsidR="00E16D55" w:rsidRDefault="00421643" w:rsidP="006A6208">
      <w:pPr>
        <w:pStyle w:val="Heading1"/>
        <w:numPr>
          <w:ilvl w:val="0"/>
          <w:numId w:val="0"/>
        </w:numPr>
        <w:contextualSpacing/>
        <w:rPr>
          <w:bCs/>
          <w:szCs w:val="18"/>
        </w:rPr>
      </w:pPr>
      <w:r>
        <w:rPr>
          <w:bCs/>
          <w:szCs w:val="18"/>
        </w:rPr>
        <w:t xml:space="preserve">                 </w:t>
      </w:r>
    </w:p>
    <w:p w:rsidR="006A6208" w:rsidRDefault="006A6208" w:rsidP="006A6208">
      <w:pPr>
        <w:pStyle w:val="Heading1"/>
        <w:numPr>
          <w:ilvl w:val="0"/>
          <w:numId w:val="0"/>
        </w:numPr>
        <w:contextualSpacing/>
        <w:rPr>
          <w:bCs/>
          <w:szCs w:val="18"/>
        </w:rPr>
      </w:pPr>
      <w:r>
        <w:rPr>
          <w:bCs/>
          <w:szCs w:val="18"/>
        </w:rPr>
        <w:t xml:space="preserve">             </w:t>
      </w:r>
    </w:p>
    <w:p w:rsidR="00421643" w:rsidRPr="00E16D55" w:rsidRDefault="006A6208" w:rsidP="006A6208">
      <w:pPr>
        <w:pStyle w:val="Heading1"/>
        <w:numPr>
          <w:ilvl w:val="0"/>
          <w:numId w:val="0"/>
        </w:numPr>
        <w:contextualSpacing/>
        <w:rPr>
          <w:rFonts w:cs="Arial"/>
          <w:color w:val="1E35BF"/>
          <w:sz w:val="24"/>
          <w:szCs w:val="24"/>
        </w:rPr>
      </w:pPr>
      <w:r>
        <w:rPr>
          <w:noProof/>
          <w:sz w:val="14"/>
          <w:szCs w:val="14"/>
          <w:lang w:val="en-US" w:eastAsia="en-US"/>
        </w:rPr>
        <w:drawing>
          <wp:anchor distT="0" distB="0" distL="114300" distR="114300" simplePos="0" relativeHeight="251659264" behindDoc="0" locked="0" layoutInCell="1" allowOverlap="1" wp14:anchorId="6A2F8585" wp14:editId="3C222020">
            <wp:simplePos x="0" y="0"/>
            <wp:positionH relativeFrom="column">
              <wp:posOffset>46990</wp:posOffset>
            </wp:positionH>
            <wp:positionV relativeFrom="paragraph">
              <wp:posOffset>201295</wp:posOffset>
            </wp:positionV>
            <wp:extent cx="2025015" cy="2565400"/>
            <wp:effectExtent l="0" t="0" r="0" b="6350"/>
            <wp:wrapNone/>
            <wp:docPr id="2" name="Picture 2"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_735_executive-portraits-london-axis-1-24-2018_0002_25245532507_o.jpg"/>
                    <pic:cNvPicPr/>
                  </pic:nvPicPr>
                  <pic:blipFill rotWithShape="1">
                    <a:blip r:embed="rId7" cstate="print">
                      <a:extLst>
                        <a:ext uri="{28A0092B-C50C-407E-A947-70E740481C1C}">
                          <a14:useLocalDpi xmlns:a14="http://schemas.microsoft.com/office/drawing/2010/main" val="0"/>
                        </a:ext>
                      </a:extLst>
                    </a:blip>
                    <a:srcRect t="5060" b="10553"/>
                    <a:stretch/>
                  </pic:blipFill>
                  <pic:spPr bwMode="auto">
                    <a:xfrm>
                      <a:off x="0" y="0"/>
                      <a:ext cx="2025015" cy="256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643" w:rsidRPr="00E16D55">
        <w:rPr>
          <w:bCs/>
          <w:sz w:val="24"/>
          <w:szCs w:val="24"/>
        </w:rPr>
        <w:t>Statement</w:t>
      </w:r>
    </w:p>
    <w:p w:rsidR="00C70FDF" w:rsidRPr="00C70FDF" w:rsidRDefault="00C70FDF" w:rsidP="006A6208">
      <w:pPr>
        <w:spacing w:line="240" w:lineRule="auto"/>
        <w:rPr>
          <w:b/>
          <w:sz w:val="28"/>
          <w:szCs w:val="28"/>
        </w:rPr>
      </w:pPr>
    </w:p>
    <w:p w:rsidR="00C70FDF" w:rsidRDefault="00C70FDF" w:rsidP="006A6208">
      <w:pPr>
        <w:rPr>
          <w:rFonts w:cs="Arial"/>
          <w:sz w:val="22"/>
          <w:szCs w:val="22"/>
        </w:rPr>
      </w:pPr>
    </w:p>
    <w:p w:rsidR="00421643" w:rsidRDefault="00421643" w:rsidP="006A6208">
      <w:pPr>
        <w:rPr>
          <w:rFonts w:cs="Arial"/>
          <w:sz w:val="22"/>
          <w:szCs w:val="22"/>
        </w:rPr>
      </w:pPr>
    </w:p>
    <w:p w:rsidR="00421643" w:rsidRDefault="00421643" w:rsidP="006A6208">
      <w:pPr>
        <w:rPr>
          <w:rFonts w:cs="Arial"/>
          <w:sz w:val="22"/>
          <w:szCs w:val="22"/>
        </w:rPr>
      </w:pPr>
    </w:p>
    <w:p w:rsidR="00421643" w:rsidRDefault="00421643" w:rsidP="006A6208">
      <w:pPr>
        <w:rPr>
          <w:rFonts w:cs="Arial"/>
          <w:sz w:val="22"/>
          <w:szCs w:val="22"/>
        </w:rPr>
      </w:pPr>
    </w:p>
    <w:p w:rsidR="00421643" w:rsidRDefault="00421643" w:rsidP="006A6208">
      <w:pPr>
        <w:rPr>
          <w:rFonts w:cs="Arial"/>
          <w:sz w:val="22"/>
          <w:szCs w:val="22"/>
        </w:rPr>
      </w:pPr>
    </w:p>
    <w:p w:rsidR="00421643" w:rsidRDefault="00421643" w:rsidP="006A6208">
      <w:pPr>
        <w:rPr>
          <w:rFonts w:cs="Arial"/>
          <w:sz w:val="22"/>
          <w:szCs w:val="22"/>
        </w:rPr>
      </w:pPr>
    </w:p>
    <w:p w:rsidR="00421643" w:rsidRDefault="00421643" w:rsidP="006A6208">
      <w:pPr>
        <w:rPr>
          <w:rFonts w:cs="Arial"/>
          <w:sz w:val="22"/>
          <w:szCs w:val="22"/>
        </w:rPr>
      </w:pPr>
    </w:p>
    <w:p w:rsidR="00421643" w:rsidRDefault="00421643" w:rsidP="006A6208">
      <w:pPr>
        <w:rPr>
          <w:rFonts w:cs="Arial"/>
          <w:sz w:val="22"/>
          <w:szCs w:val="22"/>
        </w:rPr>
      </w:pPr>
    </w:p>
    <w:p w:rsidR="006A6208" w:rsidRDefault="006A6208" w:rsidP="006A6208">
      <w:pPr>
        <w:spacing w:after="60"/>
        <w:rPr>
          <w:rFonts w:cs="Arial"/>
          <w:sz w:val="22"/>
          <w:szCs w:val="22"/>
        </w:rPr>
      </w:pPr>
    </w:p>
    <w:p w:rsidR="006A6208" w:rsidRDefault="006A6208" w:rsidP="006A6208">
      <w:pPr>
        <w:spacing w:after="60"/>
        <w:rPr>
          <w:rFonts w:cs="Arial"/>
          <w:sz w:val="22"/>
          <w:szCs w:val="22"/>
        </w:rPr>
      </w:pPr>
    </w:p>
    <w:p w:rsidR="006A6208" w:rsidRDefault="006A6208" w:rsidP="006A6208">
      <w:pPr>
        <w:spacing w:after="60"/>
        <w:rPr>
          <w:rFonts w:cs="Arial"/>
          <w:sz w:val="22"/>
          <w:szCs w:val="22"/>
        </w:rPr>
      </w:pPr>
    </w:p>
    <w:p w:rsidR="006A6208" w:rsidRDefault="00E16D55" w:rsidP="006A6208">
      <w:pPr>
        <w:spacing w:after="60"/>
        <w:rPr>
          <w:sz w:val="22"/>
          <w:szCs w:val="22"/>
        </w:rPr>
      </w:pPr>
      <w:r w:rsidRPr="006A6208">
        <w:rPr>
          <w:sz w:val="22"/>
          <w:szCs w:val="22"/>
        </w:rPr>
        <w:t xml:space="preserve">My career in financial services spans 36 years, including banking, non-life insurance and life and non-life reinsurance in the US, Canada, Latin America, Bermuda, the United Kingdom, Ireland, Continental Europe, Dubai, Singapore and Australia. </w:t>
      </w:r>
    </w:p>
    <w:p w:rsidR="006A6208" w:rsidRDefault="006A6208" w:rsidP="006A6208">
      <w:pPr>
        <w:spacing w:after="60"/>
        <w:rPr>
          <w:sz w:val="22"/>
          <w:szCs w:val="22"/>
        </w:rPr>
      </w:pPr>
    </w:p>
    <w:p w:rsidR="006A6208" w:rsidRPr="006A6208" w:rsidRDefault="00E16D55" w:rsidP="006A6208">
      <w:pPr>
        <w:spacing w:after="60"/>
        <w:rPr>
          <w:sz w:val="22"/>
          <w:szCs w:val="22"/>
        </w:rPr>
      </w:pPr>
      <w:r w:rsidRPr="006A6208">
        <w:rPr>
          <w:sz w:val="22"/>
          <w:szCs w:val="22"/>
        </w:rPr>
        <w:t xml:space="preserve">My roles have included finance (Treasurer / Chief Financial Officer), governance (director of public and private companies) and strategy and management (Chief Executive Officer) for companies based in Montreal, New York and Bermuda. </w:t>
      </w:r>
    </w:p>
    <w:p w:rsidR="006A6208" w:rsidRPr="006A6208" w:rsidRDefault="006A6208" w:rsidP="006A6208">
      <w:pPr>
        <w:spacing w:after="60"/>
        <w:rPr>
          <w:sz w:val="22"/>
          <w:szCs w:val="22"/>
        </w:rPr>
      </w:pPr>
    </w:p>
    <w:p w:rsidR="00E16D55" w:rsidRPr="006A6208" w:rsidRDefault="00E16D55" w:rsidP="006A6208">
      <w:pPr>
        <w:spacing w:after="60"/>
        <w:rPr>
          <w:sz w:val="22"/>
          <w:szCs w:val="22"/>
        </w:rPr>
      </w:pPr>
      <w:r w:rsidRPr="006A6208">
        <w:rPr>
          <w:sz w:val="22"/>
          <w:szCs w:val="22"/>
        </w:rPr>
        <w:t xml:space="preserve">I have engaged with the Lloyd’s market throughout my career, and more directly since the authorisation in 2013 of Syndicate 1686, which commenced underwriting in 2014 under management by </w:t>
      </w:r>
      <w:proofErr w:type="spellStart"/>
      <w:r w:rsidRPr="006A6208">
        <w:rPr>
          <w:sz w:val="22"/>
          <w:szCs w:val="22"/>
        </w:rPr>
        <w:t>Asta</w:t>
      </w:r>
      <w:proofErr w:type="spellEnd"/>
      <w:r w:rsidRPr="006A6208">
        <w:rPr>
          <w:sz w:val="22"/>
          <w:szCs w:val="22"/>
        </w:rPr>
        <w:t xml:space="preserve"> Managing Agency Limited. AXIS Managing Agency was authorised in 2017, following which it has managed AXIS Syndicate 1686.</w:t>
      </w:r>
    </w:p>
    <w:p w:rsidR="006A6208" w:rsidRPr="006A6208" w:rsidRDefault="006A6208" w:rsidP="006A6208">
      <w:pPr>
        <w:spacing w:after="60"/>
        <w:rPr>
          <w:sz w:val="22"/>
          <w:szCs w:val="22"/>
        </w:rPr>
      </w:pPr>
    </w:p>
    <w:p w:rsidR="006A6208" w:rsidRPr="006A6208" w:rsidRDefault="00E16D55" w:rsidP="006A6208">
      <w:pPr>
        <w:spacing w:after="60"/>
        <w:rPr>
          <w:sz w:val="22"/>
          <w:szCs w:val="22"/>
        </w:rPr>
      </w:pPr>
      <w:r w:rsidRPr="006A6208">
        <w:rPr>
          <w:sz w:val="22"/>
          <w:szCs w:val="22"/>
        </w:rPr>
        <w:t xml:space="preserve">In October 2017, AXIS acquired all of the issued share capital of Novae Group plc - an </w:t>
      </w:r>
      <w:r w:rsidRPr="006A6208">
        <w:rPr>
          <w:sz w:val="22"/>
          <w:szCs w:val="22"/>
        </w:rPr>
        <w:t xml:space="preserve">acquisition which advanced AXIS’ strategy to hold leadership positions and relevance in each of the specialty risk markets in which it competes. Further, the acquisition demonstrated the commitment of AXIS to London and Lloyd’s as the pre-eminent market for specialty risks. Novae’s legacy Lloyd’s syndicate, Syndicate 2007, was merged into AXIS Syndicate 1686 as at 1 January 2019. </w:t>
      </w:r>
    </w:p>
    <w:p w:rsidR="006A6208" w:rsidRPr="006A6208" w:rsidRDefault="006A6208" w:rsidP="006A6208">
      <w:pPr>
        <w:spacing w:after="60"/>
        <w:rPr>
          <w:sz w:val="22"/>
          <w:szCs w:val="22"/>
        </w:rPr>
      </w:pPr>
    </w:p>
    <w:p w:rsidR="006A6208" w:rsidRPr="006A6208" w:rsidRDefault="00E16D55" w:rsidP="006A6208">
      <w:pPr>
        <w:spacing w:after="60"/>
        <w:rPr>
          <w:sz w:val="22"/>
          <w:szCs w:val="22"/>
        </w:rPr>
      </w:pPr>
      <w:r w:rsidRPr="006A6208">
        <w:rPr>
          <w:sz w:val="22"/>
          <w:szCs w:val="22"/>
        </w:rPr>
        <w:t xml:space="preserve">I have often spoken publicly about my commitment to the success of Lloyd's and the London specialty re/insurance </w:t>
      </w:r>
      <w:proofErr w:type="gramStart"/>
      <w:r w:rsidRPr="006A6208">
        <w:rPr>
          <w:sz w:val="22"/>
          <w:szCs w:val="22"/>
        </w:rPr>
        <w:t>market as a whole, and</w:t>
      </w:r>
      <w:proofErr w:type="gramEnd"/>
      <w:r w:rsidRPr="006A6208">
        <w:rPr>
          <w:sz w:val="22"/>
          <w:szCs w:val="22"/>
        </w:rPr>
        <w:t xml:space="preserve"> as a member of Council, my particular areas of focus would include the following to help secure that success:</w:t>
      </w:r>
    </w:p>
    <w:p w:rsidR="006A6208" w:rsidRPr="006A6208" w:rsidRDefault="006A6208" w:rsidP="006A6208">
      <w:pPr>
        <w:spacing w:after="60"/>
        <w:rPr>
          <w:sz w:val="22"/>
          <w:szCs w:val="22"/>
        </w:rPr>
      </w:pPr>
    </w:p>
    <w:p w:rsidR="006A6208" w:rsidRPr="006A6208" w:rsidRDefault="00E16D55" w:rsidP="006A6208">
      <w:pPr>
        <w:spacing w:after="60"/>
        <w:rPr>
          <w:sz w:val="22"/>
          <w:szCs w:val="22"/>
        </w:rPr>
      </w:pPr>
      <w:r w:rsidRPr="006A6208">
        <w:rPr>
          <w:b/>
          <w:sz w:val="22"/>
          <w:szCs w:val="22"/>
        </w:rPr>
        <w:t xml:space="preserve">Strategy </w:t>
      </w:r>
      <w:r w:rsidRPr="006A6208">
        <w:rPr>
          <w:sz w:val="22"/>
          <w:szCs w:val="22"/>
        </w:rPr>
        <w:t xml:space="preserve">- supporting newly appointed CEO John Neal and his Executive in formulating Lloyd’s strategy, </w:t>
      </w:r>
      <w:proofErr w:type="gramStart"/>
      <w:r w:rsidRPr="006A6208">
        <w:rPr>
          <w:sz w:val="22"/>
          <w:szCs w:val="22"/>
        </w:rPr>
        <w:t>in particular bringing</w:t>
      </w:r>
      <w:proofErr w:type="gramEnd"/>
      <w:r w:rsidRPr="006A6208">
        <w:rPr>
          <w:sz w:val="22"/>
          <w:szCs w:val="22"/>
        </w:rPr>
        <w:t xml:space="preserve"> my experience in organisational transformation and my knowledge of the global re/insurance marketplace to bear on Lloyd’s to ensure it remains the pre-eminent market for specialty risks;</w:t>
      </w:r>
    </w:p>
    <w:p w:rsidR="006A6208" w:rsidRPr="006A6208" w:rsidRDefault="006A6208" w:rsidP="006A6208">
      <w:pPr>
        <w:spacing w:after="60"/>
        <w:rPr>
          <w:sz w:val="22"/>
          <w:szCs w:val="22"/>
        </w:rPr>
      </w:pPr>
    </w:p>
    <w:p w:rsidR="006A6208" w:rsidRPr="006A6208" w:rsidRDefault="00E16D55" w:rsidP="006A6208">
      <w:pPr>
        <w:spacing w:after="60"/>
        <w:rPr>
          <w:sz w:val="22"/>
          <w:szCs w:val="22"/>
        </w:rPr>
      </w:pPr>
      <w:r w:rsidRPr="006A6208">
        <w:rPr>
          <w:b/>
          <w:sz w:val="22"/>
          <w:szCs w:val="22"/>
        </w:rPr>
        <w:t>Profitability</w:t>
      </w:r>
      <w:r w:rsidRPr="006A6208">
        <w:rPr>
          <w:sz w:val="22"/>
          <w:szCs w:val="22"/>
        </w:rPr>
        <w:t xml:space="preserve"> - supporting the market’s return to sustainable profitability;</w:t>
      </w:r>
    </w:p>
    <w:p w:rsidR="006A6208" w:rsidRPr="006A6208" w:rsidRDefault="006A6208" w:rsidP="006A6208">
      <w:pPr>
        <w:spacing w:after="60"/>
        <w:rPr>
          <w:sz w:val="22"/>
          <w:szCs w:val="22"/>
        </w:rPr>
      </w:pPr>
    </w:p>
    <w:p w:rsidR="006A6208" w:rsidRPr="006A6208" w:rsidRDefault="006A6208" w:rsidP="006A6208">
      <w:pPr>
        <w:spacing w:after="60"/>
        <w:rPr>
          <w:sz w:val="22"/>
          <w:szCs w:val="22"/>
        </w:rPr>
      </w:pPr>
      <w:r w:rsidRPr="006A6208">
        <w:rPr>
          <w:b/>
          <w:sz w:val="22"/>
          <w:szCs w:val="22"/>
        </w:rPr>
        <w:t>T</w:t>
      </w:r>
      <w:r w:rsidR="00E16D55" w:rsidRPr="006A6208">
        <w:rPr>
          <w:b/>
          <w:sz w:val="22"/>
          <w:szCs w:val="22"/>
        </w:rPr>
        <w:t>he insurance ‘gap’ -</w:t>
      </w:r>
      <w:r w:rsidR="00E16D55" w:rsidRPr="006A6208">
        <w:rPr>
          <w:sz w:val="22"/>
          <w:szCs w:val="22"/>
        </w:rPr>
        <w:t xml:space="preserve"> assisting Lloyd’s in bridging the gap between economic loss and insured loss and developing new products to support rapidly changing customer needs;</w:t>
      </w:r>
    </w:p>
    <w:p w:rsidR="006A6208" w:rsidRPr="006A6208" w:rsidRDefault="006A6208" w:rsidP="006A6208">
      <w:pPr>
        <w:spacing w:after="60"/>
        <w:rPr>
          <w:sz w:val="22"/>
          <w:szCs w:val="22"/>
        </w:rPr>
      </w:pPr>
    </w:p>
    <w:p w:rsidR="006A6208" w:rsidRPr="006A6208" w:rsidRDefault="00E16D55" w:rsidP="006A6208">
      <w:pPr>
        <w:spacing w:after="60"/>
        <w:rPr>
          <w:sz w:val="22"/>
          <w:szCs w:val="22"/>
        </w:rPr>
      </w:pPr>
      <w:r w:rsidRPr="006A6208">
        <w:rPr>
          <w:b/>
          <w:sz w:val="22"/>
          <w:szCs w:val="22"/>
        </w:rPr>
        <w:t>Market modernisation and London Target Operating Model</w:t>
      </w:r>
      <w:r w:rsidRPr="006A6208">
        <w:rPr>
          <w:sz w:val="22"/>
          <w:szCs w:val="22"/>
        </w:rPr>
        <w:t xml:space="preserve"> - supporting Lloyd’s in the development of its Innovation Lab, its step change in use of technology, and the development of data and analytics capability to enhance risk selection and market performance; and</w:t>
      </w:r>
    </w:p>
    <w:p w:rsidR="006A6208" w:rsidRPr="006A6208" w:rsidRDefault="006A6208" w:rsidP="006A6208">
      <w:pPr>
        <w:spacing w:after="60"/>
        <w:rPr>
          <w:sz w:val="22"/>
          <w:szCs w:val="22"/>
        </w:rPr>
      </w:pPr>
    </w:p>
    <w:p w:rsidR="00E16D55" w:rsidRPr="006A6208" w:rsidRDefault="00E16D55" w:rsidP="006A6208">
      <w:pPr>
        <w:spacing w:after="60"/>
        <w:rPr>
          <w:sz w:val="22"/>
          <w:szCs w:val="22"/>
        </w:rPr>
      </w:pPr>
      <w:r w:rsidRPr="006A6208">
        <w:rPr>
          <w:b/>
          <w:sz w:val="22"/>
          <w:szCs w:val="22"/>
        </w:rPr>
        <w:t>Capital markets and alternative capital</w:t>
      </w:r>
      <w:r w:rsidRPr="006A6208">
        <w:rPr>
          <w:sz w:val="22"/>
          <w:szCs w:val="22"/>
        </w:rPr>
        <w:t xml:space="preserve"> - ensuring Lloyd’s leads in its use of alternative capital to optimise its operating platform for the benefit of Policyholders, Members and the Corporation. </w:t>
      </w:r>
    </w:p>
    <w:p w:rsidR="006A6208" w:rsidRPr="006A6208" w:rsidRDefault="006A6208" w:rsidP="006A6208">
      <w:pPr>
        <w:spacing w:after="60"/>
        <w:rPr>
          <w:sz w:val="22"/>
          <w:szCs w:val="22"/>
        </w:rPr>
      </w:pPr>
    </w:p>
    <w:p w:rsidR="005D26BB" w:rsidRPr="00367701" w:rsidRDefault="00E16D55" w:rsidP="006A6208">
      <w:pPr>
        <w:spacing w:after="60"/>
        <w:rPr>
          <w:rFonts w:cs="Arial"/>
          <w:sz w:val="22"/>
          <w:szCs w:val="22"/>
        </w:rPr>
      </w:pPr>
      <w:r w:rsidRPr="006A6208">
        <w:rPr>
          <w:sz w:val="22"/>
          <w:szCs w:val="22"/>
        </w:rPr>
        <w:t>I look forward to the opportunity to serve Lloyd’s and contribute to its success.</w:t>
      </w:r>
      <w:bookmarkStart w:id="0" w:name="_GoBack"/>
      <w:bookmarkEnd w:id="0"/>
    </w:p>
    <w:sectPr w:rsidR="005D26BB" w:rsidRPr="00367701" w:rsidSect="006A6208">
      <w:headerReference w:type="default" r:id="rId8"/>
      <w:footerReference w:type="default" r:id="rId9"/>
      <w:pgSz w:w="11907" w:h="16840" w:code="9"/>
      <w:pgMar w:top="1440" w:right="992" w:bottom="1440" w:left="1276"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19" w:rsidRDefault="00554219" w:rsidP="00554219">
      <w:pPr>
        <w:spacing w:after="0" w:line="240" w:lineRule="auto"/>
      </w:pPr>
      <w:r>
        <w:separator/>
      </w:r>
    </w:p>
  </w:endnote>
  <w:endnote w:type="continuationSeparator" w:id="0">
    <w:p w:rsidR="00554219" w:rsidRDefault="00554219" w:rsidP="0055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19" w:rsidRDefault="0055421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b0c455ba878a3ad548ad6d6"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4219" w:rsidRPr="00554219" w:rsidRDefault="00554219" w:rsidP="00554219">
                          <w:pPr>
                            <w:spacing w:after="0"/>
                            <w:jc w:val="center"/>
                            <w:rPr>
                              <w:rFonts w:ascii="Calibri" w:hAnsi="Calibri" w:cs="Calibri"/>
                              <w:color w:val="000000"/>
                              <w:sz w:val="20"/>
                            </w:rPr>
                          </w:pPr>
                          <w:r w:rsidRPr="00554219">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b0c455ba878a3ad548ad6d6"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Lo2kqQZAwAANgYAAA4AAAAAAAAAAAAA&#10;AAAALgIAAGRycy9lMm9Eb2MueG1sUEsBAi0AFAAGAAgAAAAhABFyp37fAAAACwEAAA8AAAAAAAAA&#10;AAAAAAAAcwUAAGRycy9kb3ducmV2LnhtbFBLBQYAAAAABAAEAPMAAAB/BgAAAAA=&#10;" o:allowincell="f" filled="f" stroked="f" strokeweight=".5pt">
              <v:textbox inset=",0,,0">
                <w:txbxContent>
                  <w:p w:rsidR="00554219" w:rsidRPr="00554219" w:rsidRDefault="00554219" w:rsidP="00554219">
                    <w:pPr>
                      <w:spacing w:after="0"/>
                      <w:jc w:val="center"/>
                      <w:rPr>
                        <w:rFonts w:ascii="Calibri" w:hAnsi="Calibri" w:cs="Calibri"/>
                        <w:color w:val="000000"/>
                        <w:sz w:val="20"/>
                      </w:rPr>
                    </w:pPr>
                    <w:r w:rsidRPr="00554219">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19" w:rsidRDefault="00554219" w:rsidP="00554219">
      <w:pPr>
        <w:spacing w:after="0" w:line="240" w:lineRule="auto"/>
      </w:pPr>
      <w:r>
        <w:separator/>
      </w:r>
    </w:p>
  </w:footnote>
  <w:footnote w:type="continuationSeparator" w:id="0">
    <w:p w:rsidR="00554219" w:rsidRDefault="00554219" w:rsidP="0055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DF" w:rsidRDefault="00C70FDF">
    <w:pPr>
      <w:pStyle w:val="Header"/>
    </w:pPr>
    <w:r>
      <w:rPr>
        <w:b/>
        <w:noProof/>
        <w:color w:val="1E35BF"/>
        <w:sz w:val="24"/>
        <w:szCs w:val="24"/>
      </w:rPr>
      <w:drawing>
        <wp:anchor distT="0" distB="0" distL="114300" distR="114300" simplePos="0" relativeHeight="251661312" behindDoc="0" locked="0" layoutInCell="1" allowOverlap="1" wp14:anchorId="638FFCBF" wp14:editId="25E00E85">
          <wp:simplePos x="0" y="0"/>
          <wp:positionH relativeFrom="page">
            <wp:posOffset>858520</wp:posOffset>
          </wp:positionH>
          <wp:positionV relativeFrom="paragraph">
            <wp:posOffset>-340079</wp:posOffset>
          </wp:positionV>
          <wp:extent cx="1058545" cy="424815"/>
          <wp:effectExtent l="0" t="0" r="8255" b="0"/>
          <wp:wrapSquare wrapText="bothSides"/>
          <wp:docPr id="24" name="Picture 2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YDS LOGO - Black Box - Copy.jpg"/>
                  <pic:cNvPicPr/>
                </pic:nvPicPr>
                <pic:blipFill>
                  <a:blip r:embed="rId1">
                    <a:extLst>
                      <a:ext uri="{28A0092B-C50C-407E-A947-70E740481C1C}">
                        <a14:useLocalDpi xmlns:a14="http://schemas.microsoft.com/office/drawing/2010/main" val="0"/>
                      </a:ext>
                    </a:extLst>
                  </a:blip>
                  <a:stretch>
                    <a:fillRect/>
                  </a:stretch>
                </pic:blipFill>
                <pic:spPr>
                  <a:xfrm>
                    <a:off x="0" y="0"/>
                    <a:ext cx="1058545" cy="424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BB"/>
    <w:rsid w:val="00281689"/>
    <w:rsid w:val="00367701"/>
    <w:rsid w:val="00421643"/>
    <w:rsid w:val="00554219"/>
    <w:rsid w:val="005D26BB"/>
    <w:rsid w:val="005D3768"/>
    <w:rsid w:val="006A6208"/>
    <w:rsid w:val="006D5A56"/>
    <w:rsid w:val="007B2B0A"/>
    <w:rsid w:val="007D45D8"/>
    <w:rsid w:val="008334BB"/>
    <w:rsid w:val="00857526"/>
    <w:rsid w:val="008C56FE"/>
    <w:rsid w:val="00902D48"/>
    <w:rsid w:val="0091465A"/>
    <w:rsid w:val="009352C3"/>
    <w:rsid w:val="00A51257"/>
    <w:rsid w:val="00A80BCA"/>
    <w:rsid w:val="00C70FDF"/>
    <w:rsid w:val="00E1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E4E3D"/>
  <w15:chartTrackingRefBased/>
  <w15:docId w15:val="{16BE8474-ECBE-486C-8FF3-1E1CD75C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6BB"/>
    <w:pPr>
      <w:tabs>
        <w:tab w:val="right" w:pos="9582"/>
      </w:tabs>
      <w:spacing w:after="120" w:line="240" w:lineRule="atLeast"/>
    </w:pPr>
    <w:rPr>
      <w:rFonts w:ascii="Arial" w:hAnsi="Arial"/>
      <w:sz w:val="18"/>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table" w:styleId="TableGrid">
    <w:name w:val="Table Grid"/>
    <w:basedOn w:val="TableNormal"/>
    <w:uiPriority w:val="59"/>
    <w:unhideWhenUsed/>
    <w:rsid w:val="005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219"/>
    <w:pPr>
      <w:tabs>
        <w:tab w:val="clear" w:pos="9582"/>
        <w:tab w:val="center" w:pos="4513"/>
        <w:tab w:val="right" w:pos="9026"/>
      </w:tabs>
      <w:spacing w:after="0" w:line="240" w:lineRule="auto"/>
    </w:pPr>
  </w:style>
  <w:style w:type="character" w:customStyle="1" w:styleId="HeaderChar">
    <w:name w:val="Header Char"/>
    <w:basedOn w:val="DefaultParagraphFont"/>
    <w:link w:val="Header"/>
    <w:uiPriority w:val="99"/>
    <w:rsid w:val="00554219"/>
    <w:rPr>
      <w:rFonts w:ascii="Arial" w:hAnsi="Arial"/>
      <w:sz w:val="18"/>
    </w:rPr>
  </w:style>
  <w:style w:type="paragraph" w:styleId="Footer">
    <w:name w:val="footer"/>
    <w:basedOn w:val="Normal"/>
    <w:link w:val="FooterChar"/>
    <w:uiPriority w:val="99"/>
    <w:unhideWhenUsed/>
    <w:rsid w:val="00554219"/>
    <w:pPr>
      <w:tabs>
        <w:tab w:val="clear" w:pos="9582"/>
        <w:tab w:val="center" w:pos="4513"/>
        <w:tab w:val="right" w:pos="9026"/>
      </w:tabs>
      <w:spacing w:after="0" w:line="240" w:lineRule="auto"/>
    </w:pPr>
  </w:style>
  <w:style w:type="character" w:customStyle="1" w:styleId="FooterChar">
    <w:name w:val="Footer Char"/>
    <w:basedOn w:val="DefaultParagraphFont"/>
    <w:link w:val="Footer"/>
    <w:uiPriority w:val="99"/>
    <w:rsid w:val="0055421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8149BFC1</Template>
  <TotalTime>0</TotalTime>
  <Pages>1</Pages>
  <Words>408</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O’Dowd, Gemma</dc:creator>
  <cp:keywords/>
  <dc:description/>
  <cp:lastModifiedBy>Walkling, Charlotte</cp:lastModifiedBy>
  <cp:revision>2</cp:revision>
  <dcterms:created xsi:type="dcterms:W3CDTF">2019-01-17T14:20:00Z</dcterms:created>
  <dcterms:modified xsi:type="dcterms:W3CDTF">2019-01-17T14:20:00Z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ODowdG@lloyds.com</vt:lpwstr>
  </property>
  <property fmtid="{D5CDD505-2E9C-101B-9397-08002B2CF9AE}" pid="5" name="MSIP_Label_b3b4ac1b-ad46-41e5-bbef-cfcc59b99d32_SetDate">
    <vt:lpwstr>2019-01-11T10:17:25.4948759Z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ies>
</file>